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302"/>
        </w:trPr>
        <w:tc>
          <w:tcPr>
            <w:tcW w:w="4366" w:type="dxa"/>
          </w:tcPr>
          <w:p w:rsidR="006033FD" w:rsidRDefault="00E21E01">
            <w:pPr>
              <w:pStyle w:val="TableParagraph"/>
              <w:spacing w:line="288" w:lineRule="exact"/>
              <w:ind w:right="337"/>
              <w:jc w:val="left"/>
              <w:rPr>
                <w:b/>
              </w:rPr>
            </w:pPr>
            <w:r>
              <w:rPr>
                <w:b/>
                <w:w w:val="95"/>
              </w:rPr>
              <w:t>14.07.2016 TARĠHLĠ SUT</w:t>
            </w:r>
          </w:p>
        </w:tc>
        <w:tc>
          <w:tcPr>
            <w:tcW w:w="4923" w:type="dxa"/>
          </w:tcPr>
          <w:p w:rsidR="006033FD" w:rsidRDefault="00E21E01">
            <w:pPr>
              <w:pStyle w:val="TableParagraph"/>
              <w:spacing w:line="288" w:lineRule="exact"/>
              <w:ind w:right="123"/>
              <w:jc w:val="left"/>
              <w:rPr>
                <w:b/>
              </w:rPr>
            </w:pPr>
            <w:r>
              <w:rPr>
                <w:b/>
              </w:rPr>
              <w:t>25.08</w:t>
            </w:r>
            <w:r>
              <w:rPr>
                <w:b/>
                <w:spacing w:val="-2"/>
              </w:rPr>
              <w:t>.</w:t>
            </w:r>
            <w:r>
              <w:rPr>
                <w:b/>
              </w:rPr>
              <w:t>2016</w:t>
            </w:r>
            <w:r>
              <w:rPr>
                <w:b/>
                <w:spacing w:val="-3"/>
              </w:rPr>
              <w:t xml:space="preserve"> </w:t>
            </w:r>
            <w:r>
              <w:rPr>
                <w:b/>
                <w:w w:val="85"/>
              </w:rPr>
              <w:t>DEĞ</w:t>
            </w:r>
            <w:r>
              <w:rPr>
                <w:b/>
                <w:spacing w:val="-1"/>
                <w:w w:val="85"/>
              </w:rPr>
              <w:t>Ġ</w:t>
            </w:r>
            <w:r>
              <w:rPr>
                <w:b/>
                <w:w w:val="90"/>
              </w:rPr>
              <w:t>ġ</w:t>
            </w:r>
            <w:r>
              <w:rPr>
                <w:b/>
                <w:spacing w:val="-3"/>
                <w:w w:val="44"/>
              </w:rPr>
              <w:t>Ġ</w:t>
            </w:r>
            <w:r>
              <w:rPr>
                <w:b/>
              </w:rPr>
              <w:t>K</w:t>
            </w:r>
            <w:r>
              <w:rPr>
                <w:b/>
                <w:w w:val="79"/>
              </w:rPr>
              <w:t>LĠ</w:t>
            </w:r>
            <w:r>
              <w:rPr>
                <w:b/>
                <w:spacing w:val="-2"/>
                <w:w w:val="79"/>
              </w:rPr>
              <w:t>Ğ</w:t>
            </w:r>
            <w:r>
              <w:rPr>
                <w:b/>
                <w:w w:val="44"/>
              </w:rPr>
              <w:t>Ġ</w:t>
            </w:r>
          </w:p>
        </w:tc>
      </w:tr>
      <w:tr w:rsidR="006033FD">
        <w:trPr>
          <w:trHeight w:hRule="exact" w:val="3814"/>
        </w:trPr>
        <w:tc>
          <w:tcPr>
            <w:tcW w:w="4366" w:type="dxa"/>
          </w:tcPr>
          <w:p w:rsidR="006033FD" w:rsidRDefault="00E21E01">
            <w:pPr>
              <w:pStyle w:val="TableParagraph"/>
              <w:ind w:right="101"/>
              <w:rPr>
                <w:b/>
              </w:rPr>
            </w:pPr>
            <w:r>
              <w:rPr>
                <w:b/>
              </w:rPr>
              <w:t>1.4.1.B - Birinci basamak özel sağlık kuruluĢu</w:t>
            </w:r>
          </w:p>
          <w:p w:rsidR="006033FD" w:rsidRDefault="00E21E01">
            <w:pPr>
              <w:pStyle w:val="TableParagraph"/>
              <w:ind w:right="100"/>
            </w:pPr>
            <w:r>
              <w:t>(1) İş yeri hekimlikleri, “Ayakta Teşhis ve Tedavi Yapılan Özel Sağlık Kuruluşları Hakkında Yönetmelik” kapsamında açılan özel poliklinikler, “Ağız ve Diş Sağlığı Hizmeti Sunulan Özel Sağlık Kuruluşları Hakkında Yönetmelik” kapsamında açılan ağız ve diş sa</w:t>
            </w:r>
            <w:r>
              <w:t>ğlığı hizmeti veren özel sağlık kuruluşları.</w:t>
            </w:r>
          </w:p>
        </w:tc>
        <w:tc>
          <w:tcPr>
            <w:tcW w:w="4923" w:type="dxa"/>
          </w:tcPr>
          <w:p w:rsidR="006033FD" w:rsidRDefault="00E21E01">
            <w:pPr>
              <w:pStyle w:val="TableParagraph"/>
              <w:spacing w:line="288" w:lineRule="exact"/>
              <w:rPr>
                <w:b/>
              </w:rPr>
            </w:pPr>
            <w:r>
              <w:rPr>
                <w:b/>
              </w:rPr>
              <w:t>1.4.1.B - Birinci basamak özel sağlık kuruluĢu</w:t>
            </w:r>
          </w:p>
          <w:p w:rsidR="006033FD" w:rsidRDefault="00E21E01">
            <w:pPr>
              <w:pStyle w:val="TableParagraph"/>
              <w:ind w:right="100"/>
            </w:pPr>
            <w:r>
              <w:t xml:space="preserve">(1) İş yeri hekimlikleri, </w:t>
            </w:r>
            <w:r>
              <w:rPr>
                <w:b/>
                <w:color w:val="00AF50"/>
              </w:rPr>
              <w:t xml:space="preserve">10/3/2005 tarihli </w:t>
            </w:r>
            <w:r>
              <w:rPr>
                <w:b/>
                <w:color w:val="00AF50"/>
                <w:spacing w:val="-3"/>
              </w:rPr>
              <w:t xml:space="preserve">ve </w:t>
            </w:r>
            <w:r>
              <w:rPr>
                <w:b/>
                <w:color w:val="00AF50"/>
              </w:rPr>
              <w:t>25751 sayılı Resmî Gazete’de yayımlanan “Evde Bakım Hizmetleri Sunumu Hakkında Yönetmelik” kapsamında hizmet veren me</w:t>
            </w:r>
            <w:r>
              <w:rPr>
                <w:b/>
                <w:color w:val="00AF50"/>
              </w:rPr>
              <w:t xml:space="preserve">rkez veya birimler, </w:t>
            </w:r>
            <w:r>
              <w:t xml:space="preserve">“Ayakta Teşhis ve Tedavi Yapılan Özel Sağlık Kuruluşları Hakkında Yönetmelik” kapsamında açılan özel poliklinikler, “Ağız ve Diş Sağlığı Hizmeti Sunulan Özel Sağlık Kuruluşları Hakkında Yönetmelik” kapsamında açılan ağız ve diş sağlığı </w:t>
            </w:r>
            <w:r>
              <w:t>hizmeti veren özel  sağlık</w:t>
            </w:r>
            <w:r>
              <w:rPr>
                <w:spacing w:val="2"/>
              </w:rPr>
              <w:t xml:space="preserve"> </w:t>
            </w:r>
            <w:r>
              <w:t>kuruluşları.</w:t>
            </w:r>
          </w:p>
        </w:tc>
      </w:tr>
      <w:tr w:rsidR="006033FD">
        <w:trPr>
          <w:trHeight w:hRule="exact" w:val="3522"/>
        </w:trPr>
        <w:tc>
          <w:tcPr>
            <w:tcW w:w="4366" w:type="dxa"/>
          </w:tcPr>
          <w:p w:rsidR="006033FD" w:rsidRDefault="00E21E01">
            <w:pPr>
              <w:pStyle w:val="TableParagraph"/>
              <w:spacing w:line="289" w:lineRule="exact"/>
              <w:rPr>
                <w:b/>
              </w:rPr>
            </w:pPr>
            <w:r>
              <w:rPr>
                <w:b/>
              </w:rPr>
              <w:t>1.7 - Provizyon iĢlemleri</w:t>
            </w:r>
          </w:p>
          <w:p w:rsidR="006033FD" w:rsidRDefault="00E21E01">
            <w:pPr>
              <w:pStyle w:val="TableParagraph"/>
              <w:ind w:right="99"/>
            </w:pPr>
            <w:r>
              <w:t>(*) Acil hal; ani gelişen hastalık, kaza, yaralanma ve benzeri durumlarda olayın meydana gelmesini takip eden ilk 24 saat içinde tıbbi müdahale gerektiren durumlar ile ivedilikle tıbbi müdahale yapılmadığı veya başka bir sağlık kuruluşuna nakli halinde hay</w:t>
            </w:r>
            <w:r>
              <w:t>atın ve/veya sağlık bütünlüğünün kaybedilme riskinin doğacağı kabul edilen durumlardır. Bu nedenle sağlanan sağlık hizmetleri acil sağlık hizmeti olarak kabul edilir.</w:t>
            </w:r>
          </w:p>
        </w:tc>
        <w:tc>
          <w:tcPr>
            <w:tcW w:w="4923" w:type="dxa"/>
          </w:tcPr>
          <w:p w:rsidR="006033FD" w:rsidRDefault="00E21E01">
            <w:pPr>
              <w:pStyle w:val="TableParagraph"/>
              <w:spacing w:line="289" w:lineRule="exact"/>
              <w:rPr>
                <w:b/>
              </w:rPr>
            </w:pPr>
            <w:r>
              <w:rPr>
                <w:b/>
              </w:rPr>
              <w:t>1.7 - Provizyon iĢlemleri</w:t>
            </w:r>
          </w:p>
          <w:p w:rsidR="006033FD" w:rsidRDefault="00E21E01">
            <w:pPr>
              <w:pStyle w:val="TableParagraph"/>
              <w:ind w:right="99"/>
            </w:pPr>
            <w:r>
              <w:t xml:space="preserve">(*) Acil hal; ani gelişen hastalık, kaza, yaralanma ve benzeri </w:t>
            </w:r>
            <w:r>
              <w:t>durumlarda olayın meydana gelmesini takip eden ilk 24 saat içinde tıbbi müdahale gerektiren durumlar ile ivedilikle tıbbi müdahale yapılmadığı veya başka bir sağlık kuruluşuna nakli halinde hayatın ve/veya sağlık bütünlüğünün kaybedilme riskinin doğacağı k</w:t>
            </w:r>
            <w:r>
              <w:t xml:space="preserve">abul edilen durumlardır. </w:t>
            </w:r>
            <w:r>
              <w:rPr>
                <w:strike/>
                <w:color w:val="FF0000"/>
              </w:rPr>
              <w:t xml:space="preserve">Bu nedenle   </w:t>
            </w:r>
            <w:r>
              <w:rPr>
                <w:strike/>
                <w:color w:val="FF0000"/>
                <w:spacing w:val="14"/>
              </w:rPr>
              <w:t xml:space="preserve"> </w:t>
            </w:r>
            <w:r>
              <w:rPr>
                <w:strike/>
                <w:color w:val="FF0000"/>
              </w:rPr>
              <w:t>sağlanan</w:t>
            </w:r>
          </w:p>
          <w:p w:rsidR="006033FD" w:rsidRDefault="00E21E01">
            <w:pPr>
              <w:pStyle w:val="TableParagraph"/>
              <w:ind w:right="101"/>
            </w:pPr>
            <w:r>
              <w:rPr>
                <w:rFonts w:ascii="Times New Roman" w:hAnsi="Times New Roman"/>
                <w:strike/>
                <w:color w:val="FF0000"/>
                <w:spacing w:val="-56"/>
              </w:rPr>
              <w:t xml:space="preserve"> </w:t>
            </w:r>
            <w:r>
              <w:rPr>
                <w:strike/>
                <w:color w:val="FF0000"/>
              </w:rPr>
              <w:t>sağlık hizmetleri acil sağlık hizmeti olarak kabul edilir.</w:t>
            </w:r>
          </w:p>
        </w:tc>
      </w:tr>
      <w:tr w:rsidR="006033FD">
        <w:trPr>
          <w:trHeight w:hRule="exact" w:val="3814"/>
        </w:trPr>
        <w:tc>
          <w:tcPr>
            <w:tcW w:w="4366" w:type="dxa"/>
          </w:tcPr>
          <w:p w:rsidR="006033FD" w:rsidRDefault="00E21E01">
            <w:pPr>
              <w:pStyle w:val="TableParagraph"/>
              <w:spacing w:line="288" w:lineRule="exact"/>
              <w:rPr>
                <w:b/>
              </w:rPr>
            </w:pPr>
            <w:r>
              <w:rPr>
                <w:b/>
              </w:rPr>
              <w:t>1.7 - Provizyon iĢlemleri</w:t>
            </w:r>
          </w:p>
          <w:p w:rsidR="006033FD" w:rsidRDefault="00E21E01">
            <w:pPr>
              <w:pStyle w:val="TableParagraph"/>
              <w:ind w:right="99"/>
            </w:pPr>
            <w:r>
              <w:t>(***) Tıbben başkasının bakımına muhtaç kişi; “Özürlülük Ölçütü, Sınıflandırması ve Özürlülere Verilecek Sağlık Kurulu Raporları Hakkında Yönetmelik” kapsamında, yetkilendirilmiş özürlü sağlık kurulu raporu vermeye yetkili sağlık kuruluşlarınca, ağır özürl</w:t>
            </w:r>
            <w:r>
              <w:t>ü olduğu “Özürlü Sağlık Kurulu Raporu” ile belgelendirilen kişiler, tıbben başkasının bakımına muhtaç kişiler olarak kabul edilir. Bu kişiler için düzenlenen faturaya “Özürlü Sağlık Kurulu Raporu”</w:t>
            </w:r>
            <w:r>
              <w:rPr>
                <w:spacing w:val="-1"/>
              </w:rPr>
              <w:t xml:space="preserve"> </w:t>
            </w:r>
            <w:r>
              <w:t>eklenecektir.</w:t>
            </w:r>
          </w:p>
        </w:tc>
        <w:tc>
          <w:tcPr>
            <w:tcW w:w="4923" w:type="dxa"/>
          </w:tcPr>
          <w:p w:rsidR="006033FD" w:rsidRDefault="00E21E01">
            <w:pPr>
              <w:pStyle w:val="TableParagraph"/>
              <w:spacing w:line="288" w:lineRule="exact"/>
              <w:rPr>
                <w:b/>
              </w:rPr>
            </w:pPr>
            <w:r>
              <w:rPr>
                <w:b/>
              </w:rPr>
              <w:t>1.7 - Provizyon iĢlemleri</w:t>
            </w:r>
          </w:p>
          <w:p w:rsidR="006033FD" w:rsidRDefault="00E21E01">
            <w:pPr>
              <w:pStyle w:val="TableParagraph"/>
              <w:ind w:right="98"/>
            </w:pPr>
            <w:r>
              <w:t>(***) Tıbben başkas</w:t>
            </w:r>
            <w:r>
              <w:t xml:space="preserve">ının bakımına muhtaç kişi; “Özürlülük Ölçütü, Sınıflandırması ve Özürlülere Verilecek Sağlık Kurulu Raporları Hakkında Yönetmelik” kapsamında, yetkilendirilmiş </w:t>
            </w:r>
            <w:r>
              <w:rPr>
                <w:strike/>
                <w:color w:val="FF0000"/>
              </w:rPr>
              <w:t xml:space="preserve">özürlü </w:t>
            </w:r>
            <w:r>
              <w:rPr>
                <w:b/>
                <w:color w:val="00AF50"/>
              </w:rPr>
              <w:t xml:space="preserve">engelli </w:t>
            </w:r>
            <w:r>
              <w:t xml:space="preserve">sağlık kurulu raporu vermeye yetkili sağlık kuruluşlarınca, ağır </w:t>
            </w:r>
            <w:r>
              <w:rPr>
                <w:strike/>
                <w:color w:val="FF0000"/>
              </w:rPr>
              <w:t xml:space="preserve">özürlü </w:t>
            </w:r>
            <w:r>
              <w:rPr>
                <w:b/>
                <w:color w:val="00AF50"/>
              </w:rPr>
              <w:t xml:space="preserve">engelli </w:t>
            </w:r>
            <w:r>
              <w:t>o</w:t>
            </w:r>
            <w:r>
              <w:t xml:space="preserve">lduğu “ </w:t>
            </w:r>
            <w:r>
              <w:rPr>
                <w:strike/>
                <w:color w:val="FF0000"/>
              </w:rPr>
              <w:t xml:space="preserve">Özürlü </w:t>
            </w:r>
            <w:r>
              <w:rPr>
                <w:b/>
                <w:color w:val="00AF50"/>
              </w:rPr>
              <w:t xml:space="preserve">Engelli </w:t>
            </w:r>
            <w:r>
              <w:t xml:space="preserve">Sağlık Kurulu Raporu” ile belgelendirilen kişiler, tıbben başkasının bakımına muhtaç kişiler olarak kabul edilir. Bu kişiler için düzenlenen faturaya “ </w:t>
            </w:r>
            <w:r>
              <w:rPr>
                <w:strike/>
                <w:color w:val="FF0000"/>
              </w:rPr>
              <w:t xml:space="preserve">Özürlü </w:t>
            </w:r>
            <w:r>
              <w:rPr>
                <w:b/>
                <w:color w:val="00AF50"/>
              </w:rPr>
              <w:t xml:space="preserve">Engelli </w:t>
            </w:r>
            <w:r>
              <w:t>Sağlık Kurulu Raporu”</w:t>
            </w:r>
            <w:r>
              <w:rPr>
                <w:spacing w:val="-4"/>
              </w:rPr>
              <w:t xml:space="preserve"> </w:t>
            </w:r>
            <w:r>
              <w:t>eklenecektir.</w:t>
            </w:r>
          </w:p>
        </w:tc>
      </w:tr>
      <w:tr w:rsidR="006033FD">
        <w:trPr>
          <w:trHeight w:hRule="exact" w:val="2352"/>
        </w:trPr>
        <w:tc>
          <w:tcPr>
            <w:tcW w:w="4366" w:type="dxa"/>
          </w:tcPr>
          <w:p w:rsidR="006033FD" w:rsidRDefault="00E21E01">
            <w:pPr>
              <w:pStyle w:val="TableParagraph"/>
              <w:spacing w:line="288" w:lineRule="exact"/>
              <w:rPr>
                <w:b/>
              </w:rPr>
            </w:pPr>
            <w:r>
              <w:rPr>
                <w:b/>
              </w:rPr>
              <w:t>1.9.1 - Ġlave ücret alınması</w:t>
            </w:r>
          </w:p>
          <w:p w:rsidR="006033FD" w:rsidRDefault="00E21E01">
            <w:pPr>
              <w:pStyle w:val="TableParagraph"/>
              <w:ind w:right="99"/>
            </w:pPr>
            <w:r>
              <w:t xml:space="preserve">(6) Hastanın acil haller nedeniyle sağlık hizmeti sunucusuna başvurması ve acil halin sona ermesi halinde, acil halin sona erdiğine ve müteakip işlemlerin ilave  ücrete tabi olduğuna ilişkin hastaya/hasta yakınına SUT eki “Acil Halin Sona Ermesine İlişkin </w:t>
            </w:r>
            <w:r>
              <w:t xml:space="preserve">   Bilgilendirme    Formu”    </w:t>
            </w:r>
            <w:r>
              <w:rPr>
                <w:spacing w:val="13"/>
              </w:rPr>
              <w:t xml:space="preserve"> </w:t>
            </w:r>
            <w:r>
              <w:t>(EK-1/D)</w:t>
            </w:r>
          </w:p>
        </w:tc>
        <w:tc>
          <w:tcPr>
            <w:tcW w:w="4923" w:type="dxa"/>
          </w:tcPr>
          <w:p w:rsidR="006033FD" w:rsidRDefault="00E21E01">
            <w:pPr>
              <w:pStyle w:val="TableParagraph"/>
              <w:spacing w:line="288" w:lineRule="exact"/>
              <w:rPr>
                <w:b/>
              </w:rPr>
            </w:pPr>
            <w:r>
              <w:rPr>
                <w:b/>
              </w:rPr>
              <w:t>1.9.1 - Ġlave ücret alınması</w:t>
            </w:r>
          </w:p>
          <w:p w:rsidR="006033FD" w:rsidRDefault="00E21E01">
            <w:pPr>
              <w:pStyle w:val="TableParagraph"/>
              <w:ind w:right="100"/>
            </w:pPr>
            <w:r>
              <w:t xml:space="preserve">(6) Hastanın acil haller nedeniyle sağlık hizmeti sunucusuna başvurması </w:t>
            </w:r>
            <w:r>
              <w:rPr>
                <w:strike/>
                <w:color w:val="FF0000"/>
              </w:rPr>
              <w:t xml:space="preserve">ve acil halin sona  ermesi   halinde,   acil   halin   sona   erdiğine </w:t>
            </w:r>
            <w:r>
              <w:rPr>
                <w:strike/>
                <w:color w:val="FF0000"/>
                <w:spacing w:val="9"/>
              </w:rPr>
              <w:t xml:space="preserve"> </w:t>
            </w:r>
            <w:r>
              <w:rPr>
                <w:strike/>
                <w:color w:val="FF0000"/>
              </w:rPr>
              <w:t>ve</w:t>
            </w:r>
          </w:p>
          <w:p w:rsidR="006033FD" w:rsidRDefault="00E21E01">
            <w:pPr>
              <w:pStyle w:val="TableParagraph"/>
            </w:pPr>
            <w:r>
              <w:rPr>
                <w:rFonts w:ascii="Times New Roman" w:hAnsi="Times New Roman"/>
                <w:strike/>
                <w:color w:val="FF0000"/>
                <w:spacing w:val="-56"/>
              </w:rPr>
              <w:t xml:space="preserve"> </w:t>
            </w:r>
            <w:r>
              <w:rPr>
                <w:strike/>
                <w:color w:val="FF0000"/>
              </w:rPr>
              <w:t>müteakip  işlemlerin  ilave  ücrete  ta</w:t>
            </w:r>
            <w:r>
              <w:rPr>
                <w:strike/>
                <w:color w:val="FF0000"/>
              </w:rPr>
              <w:t>bi olduğuna</w:t>
            </w:r>
          </w:p>
          <w:p w:rsidR="006033FD" w:rsidRDefault="00E21E01">
            <w:pPr>
              <w:pStyle w:val="TableParagraph"/>
            </w:pPr>
            <w:r>
              <w:rPr>
                <w:rFonts w:ascii="Times New Roman" w:hAnsi="Times New Roman"/>
                <w:strike/>
                <w:color w:val="FF0000"/>
                <w:spacing w:val="-56"/>
              </w:rPr>
              <w:t xml:space="preserve"> </w:t>
            </w:r>
            <w:r>
              <w:rPr>
                <w:strike/>
                <w:color w:val="FF0000"/>
              </w:rPr>
              <w:t>ilişkin hastaya/hasta yakınına SUT eki “Acil  Halin</w:t>
            </w:r>
          </w:p>
          <w:p w:rsidR="006033FD" w:rsidRDefault="00E21E01">
            <w:pPr>
              <w:pStyle w:val="TableParagraph"/>
            </w:pPr>
            <w:r>
              <w:rPr>
                <w:rFonts w:ascii="Times New Roman" w:hAnsi="Times New Roman"/>
                <w:strike/>
                <w:color w:val="FF0000"/>
                <w:spacing w:val="-56"/>
              </w:rPr>
              <w:t xml:space="preserve"> </w:t>
            </w:r>
            <w:r>
              <w:rPr>
                <w:strike/>
                <w:color w:val="FF0000"/>
              </w:rPr>
              <w:t xml:space="preserve">Sona Ermesine İlişkin Bilgilendirme Formu” </w:t>
            </w:r>
            <w:r>
              <w:rPr>
                <w:strike/>
                <w:color w:val="FF0000"/>
                <w:spacing w:val="59"/>
              </w:rPr>
              <w:t xml:space="preserve"> </w:t>
            </w:r>
            <w:r>
              <w:rPr>
                <w:strike/>
                <w:color w:val="FF0000"/>
              </w:rPr>
              <w:t>(EK-</w:t>
            </w:r>
          </w:p>
          <w:p w:rsidR="006033FD" w:rsidRDefault="00E21E01">
            <w:pPr>
              <w:pStyle w:val="TableParagraph"/>
            </w:pPr>
            <w:r>
              <w:rPr>
                <w:rFonts w:ascii="Times New Roman" w:hAnsi="Times New Roman"/>
                <w:strike/>
                <w:color w:val="FF0000"/>
                <w:spacing w:val="-56"/>
              </w:rPr>
              <w:t xml:space="preserve"> </w:t>
            </w:r>
            <w:r>
              <w:rPr>
                <w:strike/>
                <w:color w:val="FF0000"/>
              </w:rPr>
              <w:t>1/D)  kullanılarak,  yazılı  bilginin  imza    karşılığı</w:t>
            </w:r>
          </w:p>
        </w:tc>
      </w:tr>
    </w:tbl>
    <w:p w:rsidR="006033FD" w:rsidRDefault="006033FD">
      <w:pPr>
        <w:sectPr w:rsidR="006033FD">
          <w:footerReference w:type="default" r:id="rId7"/>
          <w:type w:val="continuous"/>
          <w:pgSz w:w="11910" w:h="16840"/>
          <w:pgMar w:top="560" w:right="1180" w:bottom="1140" w:left="1200" w:header="708" w:footer="942" w:gutter="0"/>
          <w:pgNumType w:start="1"/>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1181"/>
        </w:trPr>
        <w:tc>
          <w:tcPr>
            <w:tcW w:w="4366" w:type="dxa"/>
          </w:tcPr>
          <w:p w:rsidR="006033FD" w:rsidRDefault="00E21E01">
            <w:pPr>
              <w:pStyle w:val="TableParagraph"/>
              <w:ind w:right="337"/>
              <w:jc w:val="left"/>
            </w:pPr>
            <w:r>
              <w:lastRenderedPageBreak/>
              <w:t>kullanılarak, yazılı bilginin imza karşılığı verilmesi zorunludur.</w:t>
            </w:r>
          </w:p>
        </w:tc>
        <w:tc>
          <w:tcPr>
            <w:tcW w:w="4923" w:type="dxa"/>
          </w:tcPr>
          <w:p w:rsidR="006033FD" w:rsidRDefault="00E21E01">
            <w:pPr>
              <w:pStyle w:val="TableParagraph"/>
              <w:ind w:right="102"/>
              <w:rPr>
                <w:b/>
              </w:rPr>
            </w:pPr>
            <w:r>
              <w:rPr>
                <w:strike/>
                <w:color w:val="FF0000"/>
              </w:rPr>
              <w:t xml:space="preserve">verilmesi zorunludur. </w:t>
            </w:r>
            <w:r>
              <w:rPr>
                <w:b/>
                <w:color w:val="00AF50"/>
              </w:rPr>
              <w:t>halinde bu baĢvurusuna iliĢkin taburcu edilinceye kadar sunulan tüm sağlık hizmetleri için hiç bir ilave ücret alınamaz.</w:t>
            </w:r>
          </w:p>
        </w:tc>
      </w:tr>
      <w:tr w:rsidR="006033FD">
        <w:trPr>
          <w:trHeight w:hRule="exact" w:val="3231"/>
        </w:trPr>
        <w:tc>
          <w:tcPr>
            <w:tcW w:w="4366" w:type="dxa"/>
          </w:tcPr>
          <w:p w:rsidR="006033FD" w:rsidRDefault="00E21E01">
            <w:pPr>
              <w:pStyle w:val="TableParagraph"/>
              <w:ind w:right="337"/>
              <w:jc w:val="left"/>
              <w:rPr>
                <w:b/>
              </w:rPr>
            </w:pPr>
            <w:r>
              <w:rPr>
                <w:b/>
              </w:rPr>
              <w:t>2.2 - Finansmanı sağlanan sağlık hizmetlerinin sağlanma yöntemleri ve ödeme kuralları</w:t>
            </w:r>
          </w:p>
          <w:p w:rsidR="006033FD" w:rsidRDefault="00E21E01">
            <w:pPr>
              <w:pStyle w:val="TableParagraph"/>
              <w:ind w:right="100"/>
            </w:pPr>
            <w:r>
              <w:t xml:space="preserve">(4) Finansmanı sağlanan sağlık hizmetleri, Kurumla sağlık hizmeti sunucuları arasında sağlık hizmeti satın alımı sözleşmeleri yapılması suretiyle karşılanır. Sözleşmesiz </w:t>
            </w:r>
            <w:r>
              <w:t>sağlık hizmeti sunucularından ise acil hallerde alınan sağlık hizmetlerinin bedelleri Kurumca karşılanır.</w:t>
            </w:r>
          </w:p>
        </w:tc>
        <w:tc>
          <w:tcPr>
            <w:tcW w:w="4923" w:type="dxa"/>
          </w:tcPr>
          <w:p w:rsidR="006033FD" w:rsidRDefault="00E21E01">
            <w:pPr>
              <w:pStyle w:val="TableParagraph"/>
              <w:ind w:right="123"/>
              <w:jc w:val="left"/>
              <w:rPr>
                <w:b/>
              </w:rPr>
            </w:pPr>
            <w:r>
              <w:rPr>
                <w:b/>
              </w:rPr>
              <w:t>2.2 - Finansmanı sağlanan sağlık hizmetlerinin sağlanma yöntemleri ve ödeme kuralları</w:t>
            </w:r>
          </w:p>
          <w:p w:rsidR="006033FD" w:rsidRDefault="00E21E01">
            <w:pPr>
              <w:pStyle w:val="TableParagraph"/>
              <w:ind w:right="100"/>
            </w:pPr>
            <w:r>
              <w:t>(4) Finansmanı sağlanan sağlık hizmetleri, Kurumla sağlık hizmet</w:t>
            </w:r>
            <w:r>
              <w:t xml:space="preserve">i sunucuları arasında  sağlık hizmeti satın alımı sözleşmeleri yapılması suretiyle karşılanır. Sözleşmesiz sağlık hizmeti sunucularından ise acil hallerde </w:t>
            </w:r>
            <w:r>
              <w:rPr>
                <w:strike/>
                <w:color w:val="FF0000"/>
              </w:rPr>
              <w:t xml:space="preserve">alınan </w:t>
            </w:r>
            <w:r>
              <w:rPr>
                <w:b/>
                <w:color w:val="00AF50"/>
              </w:rPr>
              <w:t xml:space="preserve">müracaat eden hastalara taburcu edilinceye kadar sunulan tüm </w:t>
            </w:r>
            <w:r>
              <w:t>sağlık hizmetlerinin bedelleri Ku</w:t>
            </w:r>
            <w:r>
              <w:t>rumca</w:t>
            </w:r>
            <w:r>
              <w:rPr>
                <w:spacing w:val="-1"/>
              </w:rPr>
              <w:t xml:space="preserve"> </w:t>
            </w:r>
            <w:r>
              <w:t>karşılanır.</w:t>
            </w:r>
          </w:p>
        </w:tc>
      </w:tr>
      <w:tr w:rsidR="006033FD">
        <w:trPr>
          <w:trHeight w:hRule="exact" w:val="9376"/>
        </w:trPr>
        <w:tc>
          <w:tcPr>
            <w:tcW w:w="4366" w:type="dxa"/>
          </w:tcPr>
          <w:p w:rsidR="006033FD" w:rsidRDefault="00E21E01">
            <w:pPr>
              <w:pStyle w:val="TableParagraph"/>
              <w:ind w:right="337"/>
              <w:jc w:val="left"/>
              <w:rPr>
                <w:b/>
              </w:rPr>
            </w:pPr>
            <w:r>
              <w:rPr>
                <w:b/>
              </w:rPr>
              <w:t>2.2 - Finansmanı sağlanan sağlık hizmetlerinin sağlanma yöntemleri ve ödeme kuralları</w:t>
            </w:r>
          </w:p>
          <w:p w:rsidR="006033FD" w:rsidRDefault="00E21E01">
            <w:pPr>
              <w:pStyle w:val="TableParagraph"/>
              <w:ind w:right="99"/>
            </w:pPr>
            <w:r>
              <w:t xml:space="preserve">(6) İşyeri hekimleri veya birden fazla işyerine hizmet veren ortak sağlık birimleri ile özel poliklinikler tarafından verilen sağlık hizmetleri için Kurumdan herhangi bir ücret talep edilemez. İşyeri hekimleri veya birden fazla işyerine hizmet veren ortak </w:t>
            </w:r>
            <w:r>
              <w:t xml:space="preserve">sağlık birimlerince sadece yetkili oldukları işyerlerinde; 5510 sayılı Kanunun 4 üncü maddesinin birinci fıkrasının (a)  </w:t>
            </w:r>
            <w:r>
              <w:rPr>
                <w:spacing w:val="16"/>
              </w:rPr>
              <w:t xml:space="preserve"> </w:t>
            </w:r>
            <w:r>
              <w:t>ve</w:t>
            </w:r>
          </w:p>
          <w:p w:rsidR="006033FD" w:rsidRDefault="00E21E01">
            <w:pPr>
              <w:pStyle w:val="TableParagraph"/>
              <w:ind w:right="99"/>
            </w:pPr>
            <w:r>
              <w:t>(b) bentlerinde sayılan sigortalılara, bu işyerlerinin kamu kurumu niteliğinde olması halinde ise, bu sigortalılara ek olarak, 5510</w:t>
            </w:r>
            <w:r>
              <w:t xml:space="preserve"> sayılı Kanunun 4 üncü maddesinin birinci fıkrasının (c) bendinde sayılan sigortalılara da SUT ve eki listelerde yer alan usul ve esaslar dahilinde reçete edilmiş ilaç bedelleri Kurumca karşılanır. Özel polikliniklerce ve ağız ve diş sağlığı hizmeti veren </w:t>
            </w:r>
            <w:r>
              <w:t>özel sağlık kuruluşlarınca verilen sağlık hizmetleri ve düzenlenen reçete bedelleri Kurumca karşılanmaz.</w:t>
            </w:r>
          </w:p>
        </w:tc>
        <w:tc>
          <w:tcPr>
            <w:tcW w:w="4923" w:type="dxa"/>
          </w:tcPr>
          <w:p w:rsidR="006033FD" w:rsidRDefault="00E21E01">
            <w:pPr>
              <w:pStyle w:val="TableParagraph"/>
              <w:ind w:right="123"/>
              <w:jc w:val="left"/>
              <w:rPr>
                <w:b/>
              </w:rPr>
            </w:pPr>
            <w:r>
              <w:rPr>
                <w:b/>
              </w:rPr>
              <w:t>2.2 - Finansmanı sağlanan sağlık hizmetlerinin sağlanma yöntemleri ve ödeme kuralları</w:t>
            </w:r>
          </w:p>
          <w:p w:rsidR="006033FD" w:rsidRDefault="00E21E01">
            <w:pPr>
              <w:pStyle w:val="TableParagraph"/>
              <w:ind w:right="98"/>
            </w:pPr>
            <w:r>
              <w:t>(6) İşyeri hekimleri veya birden fazla işyerine hizmet veren orta</w:t>
            </w:r>
            <w:r>
              <w:t xml:space="preserve">k sağlık birimleri, </w:t>
            </w:r>
            <w:r>
              <w:rPr>
                <w:strike/>
                <w:color w:val="FF0000"/>
              </w:rPr>
              <w:t xml:space="preserve">ile </w:t>
            </w:r>
            <w:r>
              <w:t xml:space="preserve">özel poliklinikler </w:t>
            </w:r>
            <w:r>
              <w:rPr>
                <w:b/>
                <w:color w:val="00AF50"/>
              </w:rPr>
              <w:t xml:space="preserve">ile “Evde Bakım Hizmetleri Sunumu Hakkında Yönetmelik” kapsamında hizmet veren merkez veya birimler </w:t>
            </w:r>
            <w:r>
              <w:t>tarafından verilen sağlık hizmetleri için Kurumdan herhangi bir ücret talep edilemez. İşyeri hekimleri veya birde</w:t>
            </w:r>
            <w:r>
              <w:t>n fazla işyerine hizmet veren ortak sağlık birimlerince sadece yetkili oldukları işyerlerinde; 5510 sayılı Kanunun 4 üncü maddesinin birinci fıkrasının (a) ve (b) bentlerinde sayılan sigortalılara, bu işyerlerinin kamu kurumu niteliğinde olması halinde ise</w:t>
            </w:r>
            <w:r>
              <w:t xml:space="preserve">, bu sigortalılara ek olarak, 5510 sayılı Kanunun 4 üncü maddesinin birinci fıkrasının (c) bendinde sayılan sigortalılara da SUT ve eki listelerde yer alan usul ve esaslar dahilinde reçete edilmiş ilaç bedelleri Kurumca karşılanır. </w:t>
            </w:r>
            <w:r>
              <w:rPr>
                <w:b/>
                <w:color w:val="00AF50"/>
              </w:rPr>
              <w:t>Evde Bakım Hizmetleri Su</w:t>
            </w:r>
            <w:r>
              <w:rPr>
                <w:b/>
                <w:color w:val="00AF50"/>
              </w:rPr>
              <w:t>numu Hakkında Yönetmelik” kapsamında hizmet veren merkez veya birimler tarafından SUT</w:t>
            </w:r>
            <w:r>
              <w:rPr>
                <w:b/>
                <w:color w:val="00AF50"/>
                <w:spacing w:val="-27"/>
              </w:rPr>
              <w:t xml:space="preserve"> </w:t>
            </w:r>
            <w:r>
              <w:rPr>
                <w:b/>
                <w:color w:val="00AF50"/>
              </w:rPr>
              <w:t>ve eki listelerde yer alan usul ve esaslar dahilinde düzenlenen reçete bedelleri Kurumca karĢılanır</w:t>
            </w:r>
            <w:r>
              <w:rPr>
                <w:color w:val="211F1F"/>
              </w:rPr>
              <w:t xml:space="preserve">. </w:t>
            </w:r>
            <w:r>
              <w:t>Özel polikliniklerce ve ağız ve diş sağlığı hizmeti veren özel sağlık</w:t>
            </w:r>
            <w:r>
              <w:t xml:space="preserve"> kuruluşlarınca verilen sağlık hizmetleri ve düzenlenen reçete bedelleri Kurumca karşılanmaz.</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6743"/>
        </w:trPr>
        <w:tc>
          <w:tcPr>
            <w:tcW w:w="4366" w:type="dxa"/>
          </w:tcPr>
          <w:p w:rsidR="006033FD" w:rsidRDefault="00E21E01">
            <w:pPr>
              <w:pStyle w:val="TableParagraph"/>
              <w:ind w:right="337"/>
              <w:jc w:val="left"/>
              <w:rPr>
                <w:b/>
              </w:rPr>
            </w:pPr>
            <w:r>
              <w:rPr>
                <w:b/>
              </w:rPr>
              <w:lastRenderedPageBreak/>
              <w:t>2.2 - Finansmanı sağlanan sağlık hizmetlerinin sağlanma yöntemleri ve ödeme kuralları</w:t>
            </w:r>
          </w:p>
          <w:p w:rsidR="006033FD" w:rsidRDefault="00E21E01">
            <w:pPr>
              <w:pStyle w:val="TableParagraph"/>
              <w:ind w:right="99"/>
            </w:pPr>
            <w:r>
              <w:t>14) Kişilere sağlanan sağlık hizmetlerine ilişkin düzenlenen sağlık raporu bedelleri, SUT eki EK-2/B Listesinde yer alan rapor puanları esas alınarak sadece bir adet olarak faturalandırılır. Ancak Kurum birimlerince sevk belgesi düzenlenmek suretiyle malul</w:t>
            </w:r>
            <w:r>
              <w:t>iyet, meslek hastalığı ve kontrol muayeneleri vb nedenlerle sağlık hizmeti sunucusuna sevk edilen kişiler için düzenlenen sağlık raporları ile ilaç ve tıbbi malzeme temini de dâhil olmak üzere tedavi amacıyla düzenlenen sağlık  raporları dışında kalan; özü</w:t>
            </w:r>
            <w:r>
              <w:t>rlülük raporu, ehliyet raporu, vasi tayini raporu, portör muayeneleri ve işlemleri, tarama amaçlı muayene ve işlemler vb özel amaçla kullanılacak durum belirtir rapor bedelleri ile bu durumların tespitine yönelik yapılan işlem bedelleri Kurumca</w:t>
            </w:r>
            <w:r>
              <w:rPr>
                <w:spacing w:val="-5"/>
              </w:rPr>
              <w:t xml:space="preserve"> </w:t>
            </w:r>
            <w:r>
              <w:t>karşılanmaz</w:t>
            </w:r>
            <w:r>
              <w:t>.</w:t>
            </w:r>
          </w:p>
        </w:tc>
        <w:tc>
          <w:tcPr>
            <w:tcW w:w="4923" w:type="dxa"/>
          </w:tcPr>
          <w:p w:rsidR="006033FD" w:rsidRDefault="00E21E01">
            <w:pPr>
              <w:pStyle w:val="TableParagraph"/>
              <w:ind w:right="123"/>
              <w:jc w:val="left"/>
              <w:rPr>
                <w:b/>
              </w:rPr>
            </w:pPr>
            <w:r>
              <w:rPr>
                <w:b/>
              </w:rPr>
              <w:t>2.2 - Finansmanı sağlanan sağlık hizmetlerinin sağlanma yöntemleri ve ödeme kuralları</w:t>
            </w:r>
          </w:p>
          <w:p w:rsidR="006033FD" w:rsidRDefault="00E21E01">
            <w:pPr>
              <w:pStyle w:val="TableParagraph"/>
              <w:ind w:right="98"/>
            </w:pPr>
            <w:r>
              <w:t>14) Kişilere sağlanan sağlık hizmetlerine ilişkin düzenlenen sağlık raporu bedelleri, SUT eki EK- 2/B Listesinde yer alan rapor puanları esas alınarak sadece bir adet o</w:t>
            </w:r>
            <w:r>
              <w:t>larak faturalandırılır. Ancak Kurum birimlerince sevk belgesi düzenlenmek suretiyle maluliyet, meslek hastalığı ve kontrol muayeneleri vb nedenlerle sağlık hizmeti sunucusuna sevk edilen kişiler için düzenlenen sağlık raporları ile ilaç ve tıbbi malzeme te</w:t>
            </w:r>
            <w:r>
              <w:t xml:space="preserve">mini de dâhil olmak üzere tedavi amacıyla düzenlenen sağlık raporları dışında kalan; </w:t>
            </w:r>
            <w:r>
              <w:rPr>
                <w:strike/>
                <w:color w:val="FF0000"/>
              </w:rPr>
              <w:t xml:space="preserve">özürlülük </w:t>
            </w:r>
            <w:r>
              <w:rPr>
                <w:b/>
                <w:color w:val="00AF50"/>
              </w:rPr>
              <w:t xml:space="preserve">engellilik </w:t>
            </w:r>
            <w:r>
              <w:t>raporu,  ehliyet raporu, vasi tayini raporu, portör muayeneleri ve işlemleri, tarama amaçlı muayene ve işlemler vb özel amaçla kullanılacak durum beli</w:t>
            </w:r>
            <w:r>
              <w:t>rtir rapor bedelleri ile bu durumların tespitine yönelik yapılan işlem bedelleri Kurumca</w:t>
            </w:r>
            <w:r>
              <w:rPr>
                <w:spacing w:val="-3"/>
              </w:rPr>
              <w:t xml:space="preserve"> </w:t>
            </w:r>
            <w:r>
              <w:t>karşılanmaz.</w:t>
            </w:r>
          </w:p>
        </w:tc>
      </w:tr>
      <w:tr w:rsidR="006033FD">
        <w:trPr>
          <w:trHeight w:hRule="exact" w:val="7033"/>
        </w:trPr>
        <w:tc>
          <w:tcPr>
            <w:tcW w:w="4366" w:type="dxa"/>
          </w:tcPr>
          <w:p w:rsidR="006033FD" w:rsidRDefault="00E21E01">
            <w:pPr>
              <w:pStyle w:val="TableParagraph"/>
              <w:ind w:right="761"/>
              <w:jc w:val="left"/>
              <w:rPr>
                <w:b/>
              </w:rPr>
            </w:pPr>
            <w:r>
              <w:rPr>
                <w:b/>
              </w:rPr>
              <w:t>2.4.1.B-1 DiĢ tedavileri uygulama esasları</w:t>
            </w:r>
          </w:p>
          <w:p w:rsidR="006033FD" w:rsidRDefault="00E21E01">
            <w:pPr>
              <w:pStyle w:val="TableParagraph"/>
              <w:numPr>
                <w:ilvl w:val="0"/>
                <w:numId w:val="11"/>
              </w:numPr>
              <w:tabs>
                <w:tab w:val="left" w:pos="490"/>
              </w:tabs>
              <w:ind w:right="100" w:firstLine="0"/>
              <w:jc w:val="both"/>
            </w:pPr>
            <w:r>
              <w:t>%40 ve üzerinde özürlü kişiler hariç olmak üzere kapsamdaki kişilerin özel sağlık hizmeti sunucuları ile Kurumla sözleşmesi olmayan resmi sağlık hizmeti sunucularındaki diş ünitelerinde yapılan ağız ve diş sağlığına ilişkin tedavileri (ortodonti hariç) Kur</w:t>
            </w:r>
            <w:r>
              <w:t>umca</w:t>
            </w:r>
            <w:r>
              <w:rPr>
                <w:spacing w:val="-2"/>
              </w:rPr>
              <w:t xml:space="preserve"> </w:t>
            </w:r>
            <w:r>
              <w:t>ödenmez.</w:t>
            </w:r>
          </w:p>
          <w:p w:rsidR="006033FD" w:rsidRDefault="00E21E01">
            <w:pPr>
              <w:pStyle w:val="TableParagraph"/>
              <w:numPr>
                <w:ilvl w:val="0"/>
                <w:numId w:val="11"/>
              </w:numPr>
              <w:tabs>
                <w:tab w:val="left" w:pos="473"/>
              </w:tabs>
              <w:ind w:right="99" w:firstLine="0"/>
              <w:jc w:val="both"/>
            </w:pPr>
            <w:r>
              <w:rPr>
                <w:spacing w:val="-2"/>
              </w:rPr>
              <w:t xml:space="preserve">%40 </w:t>
            </w:r>
            <w:r>
              <w:t>ve üzerinde özürlü kişilerin özel sağlık hizmeti sunucuları ile Kurumla sözleşmesi olmayan resmi sağlık hizmeti sunucularındaki diş ünitelerinde yapılan  diş tedavilerinin ödenebilmesi için, özürlülük durumu belgelendirilmelidir. Bu hasta</w:t>
            </w:r>
            <w:r>
              <w:t>lar; Sağlık Bakanlığına bağlı ağız ve diş sağlığı merkezleri (ADSM), ağız ve diş sağlığı hastaneleri, ağız ve diş  sağlığı eğitim ve araştırma hastaneleri veya üniversitelerin diş hekimliği fakültelerince üç diş hekimi tarafından sağlık kurulu raporu düzen</w:t>
            </w:r>
            <w:r>
              <w:t xml:space="preserve">lenmesi halinde, özel sağlık hizmeti sunucuları ile Kurumla sözleşmesi olmayan        resmi        sağlık        </w:t>
            </w:r>
            <w:r>
              <w:rPr>
                <w:spacing w:val="26"/>
              </w:rPr>
              <w:t xml:space="preserve"> </w:t>
            </w:r>
            <w:r>
              <w:t>hizmeti</w:t>
            </w:r>
          </w:p>
        </w:tc>
        <w:tc>
          <w:tcPr>
            <w:tcW w:w="4923" w:type="dxa"/>
          </w:tcPr>
          <w:p w:rsidR="006033FD" w:rsidRDefault="00E21E01">
            <w:pPr>
              <w:pStyle w:val="TableParagraph"/>
              <w:spacing w:line="286" w:lineRule="exact"/>
              <w:rPr>
                <w:b/>
              </w:rPr>
            </w:pPr>
            <w:r>
              <w:rPr>
                <w:b/>
              </w:rPr>
              <w:t>2.4.1.B-1 DiĢ tedavileri uygulama esasları</w:t>
            </w:r>
          </w:p>
          <w:p w:rsidR="006033FD" w:rsidRDefault="00E21E01">
            <w:pPr>
              <w:pStyle w:val="TableParagraph"/>
              <w:numPr>
                <w:ilvl w:val="0"/>
                <w:numId w:val="10"/>
              </w:numPr>
              <w:tabs>
                <w:tab w:val="left" w:pos="439"/>
              </w:tabs>
              <w:ind w:right="97" w:firstLine="0"/>
              <w:jc w:val="both"/>
            </w:pPr>
            <w:r>
              <w:t xml:space="preserve">%40 ve üzerinde </w:t>
            </w:r>
            <w:r>
              <w:rPr>
                <w:strike/>
                <w:color w:val="FF0000"/>
              </w:rPr>
              <w:t xml:space="preserve">özürlü </w:t>
            </w:r>
            <w:r>
              <w:rPr>
                <w:b/>
                <w:color w:val="00AF50"/>
              </w:rPr>
              <w:t xml:space="preserve">engelli </w:t>
            </w:r>
            <w:r>
              <w:t>kişiler hariç olmak üzere kapsamdaki kişilerin özel sağlık h</w:t>
            </w:r>
            <w:r>
              <w:t>izmeti sunucuları ile Kurumla sözleşmesi olmayan resmi sağlık hizmeti sunucularındaki  diş ünitelerinde yapılan ağız ve diş sağlığına ilişkin tedavileri (ortodonti hariç) Kurumca ödenmez.</w:t>
            </w:r>
          </w:p>
          <w:p w:rsidR="006033FD" w:rsidRDefault="00E21E01">
            <w:pPr>
              <w:pStyle w:val="TableParagraph"/>
              <w:numPr>
                <w:ilvl w:val="0"/>
                <w:numId w:val="10"/>
              </w:numPr>
              <w:tabs>
                <w:tab w:val="left" w:pos="425"/>
              </w:tabs>
              <w:ind w:right="98" w:firstLine="0"/>
              <w:jc w:val="both"/>
            </w:pPr>
            <w:r>
              <w:t xml:space="preserve">%40 ve üzerinde </w:t>
            </w:r>
            <w:r>
              <w:rPr>
                <w:strike/>
                <w:color w:val="FF0000"/>
              </w:rPr>
              <w:t xml:space="preserve">özürlü </w:t>
            </w:r>
            <w:r>
              <w:rPr>
                <w:b/>
                <w:color w:val="00AF50"/>
              </w:rPr>
              <w:t xml:space="preserve">engelli </w:t>
            </w:r>
            <w:r>
              <w:t xml:space="preserve">kişilerin özel sağlık hizmeti sunucuları ile Kurumla sözleşmesi olmayan resmi sağlık hizmeti sunucularındaki  diş ünitelerinde yapılan diş tedavilerinin ödenebilmesi için, </w:t>
            </w:r>
            <w:r>
              <w:rPr>
                <w:strike/>
                <w:color w:val="FF0000"/>
              </w:rPr>
              <w:t xml:space="preserve">özürlülük </w:t>
            </w:r>
            <w:r>
              <w:rPr>
                <w:b/>
                <w:color w:val="00AF50"/>
              </w:rPr>
              <w:t xml:space="preserve">engellilik </w:t>
            </w:r>
            <w:r>
              <w:t>durumu belgelendirilmelidir. Bu hastalar; Sağlık Bakanlığına ba</w:t>
            </w:r>
            <w:r>
              <w:t>ğlı ağız ve diş sağlığı merkezleri (ADSM), ağız ve diş sağlığı hastaneleri, ağız ve diş sağlığı eğitim ve araştırma hastaneleri veya üniversitelerin diş hekimliği fakültelerince üç diş hekimi tarafından sağlık kurulu raporu düzenlenmesi halinde, özel sağlı</w:t>
            </w:r>
            <w:r>
              <w:t xml:space="preserve">k hizmeti sunucuları ile Kurumla sözleşmesi olmayan  resmi sağlık hizmeti sunucularındaki diş ünitelerine başvurabilirler. Sağlık kurulu raporunda, yapılacak ağız ve diş sağlığına </w:t>
            </w:r>
            <w:r>
              <w:rPr>
                <w:spacing w:val="32"/>
              </w:rPr>
              <w:t xml:space="preserve"> </w:t>
            </w:r>
            <w:r>
              <w:t>ilişkin</w:t>
            </w:r>
          </w:p>
        </w:tc>
      </w:tr>
    </w:tbl>
    <w:p w:rsidR="006033FD" w:rsidRDefault="006033FD">
      <w:pPr>
        <w:jc w:val="both"/>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8205"/>
        </w:trPr>
        <w:tc>
          <w:tcPr>
            <w:tcW w:w="4366" w:type="dxa"/>
          </w:tcPr>
          <w:p w:rsidR="006033FD" w:rsidRDefault="00E21E01">
            <w:pPr>
              <w:pStyle w:val="TableParagraph"/>
              <w:tabs>
                <w:tab w:val="left" w:pos="2284"/>
                <w:tab w:val="left" w:pos="3219"/>
              </w:tabs>
              <w:ind w:right="99"/>
            </w:pPr>
            <w:r>
              <w:lastRenderedPageBreak/>
              <w:t>sunucularındaki</w:t>
            </w:r>
            <w:r>
              <w:tab/>
              <w:t>diş</w:t>
            </w:r>
            <w:r>
              <w:tab/>
              <w:t>ünitelerine başvurabilirler.</w:t>
            </w:r>
            <w:r>
              <w:t xml:space="preserve"> Sağlık kurulu raporunda, yapılacak ağız ve diş sağlığına ilişkin tedaviler açıkça belirtilmelidir. Ağız ve Diş muayeneleri yapılamayan hastalarda bu durum sağlık kurulu raporunda belirtilmelidir. Sağlık kurulu raporunun düzenlendiği tarihten itibaren 10 i</w:t>
            </w:r>
            <w:r>
              <w:t>ş günü (raporun alındığı gün dahil) içinde  tedaviye başlanılması</w:t>
            </w:r>
            <w:r>
              <w:rPr>
                <w:spacing w:val="-3"/>
              </w:rPr>
              <w:t xml:space="preserve"> </w:t>
            </w:r>
            <w:r>
              <w:t>gerekmektedir.</w:t>
            </w:r>
          </w:p>
          <w:p w:rsidR="006033FD" w:rsidRDefault="00E21E01">
            <w:pPr>
              <w:pStyle w:val="TableParagraph"/>
              <w:ind w:right="98"/>
            </w:pPr>
            <w:r>
              <w:t xml:space="preserve">(3) Başta zihinsel özürlü olmak üzere iletişim kurulamayan veya algılama  güçlüğü yaşanan özürlü kişilerin diş tedavileri, sınırlı uyuşturma altında gerçekleştirilemiyorsa ve </w:t>
            </w:r>
            <w:r>
              <w:t>genel anestezi veya sedo-analjezi altında müdahale gerekmesi durumunda genel anestezi veya sedo-analjezi bedelinin ödenebilmesi için; tedavinin anesteziyoloji ve reanimasyon uzman hekiminin sorumluluğunda genel anestezi altında cerrahi müdahale uygulanabil</w:t>
            </w:r>
            <w:r>
              <w:t>en, asgari tıbbi malzeme ve ilaçların bulunduğu genel anestezi ile müdahale birimi olan ADSM, tıp  merkezleri ve hastanelerin ameliyathane  ve genel anestezi ünitelerinde yapıldığının belgelendirilmesi</w:t>
            </w:r>
            <w:r>
              <w:rPr>
                <w:spacing w:val="-5"/>
              </w:rPr>
              <w:t xml:space="preserve"> </w:t>
            </w:r>
            <w:r>
              <w:t>gerekmektedir.</w:t>
            </w:r>
          </w:p>
        </w:tc>
        <w:tc>
          <w:tcPr>
            <w:tcW w:w="4923" w:type="dxa"/>
          </w:tcPr>
          <w:p w:rsidR="006033FD" w:rsidRDefault="00E21E01">
            <w:pPr>
              <w:pStyle w:val="TableParagraph"/>
              <w:ind w:right="98"/>
            </w:pPr>
            <w:r>
              <w:t xml:space="preserve">tedaviler açıkça belirtilmelidir. Ağız </w:t>
            </w:r>
            <w:r>
              <w:t>ve Diş muayeneleri yapılamayan hastalarda bu durum sağlık kurulu raporunda belirtilmelidir. Sağlık kurulu raporunun düzenlendiği tarihten  itibaren</w:t>
            </w:r>
          </w:p>
          <w:p w:rsidR="006033FD" w:rsidRDefault="00E21E01">
            <w:pPr>
              <w:pStyle w:val="TableParagraph"/>
              <w:ind w:right="105"/>
            </w:pPr>
            <w:r>
              <w:t>10 iş günü (raporun alındığı gün dahil) içinde tedaviye başlanılması gerekmektedir.</w:t>
            </w:r>
          </w:p>
          <w:p w:rsidR="006033FD" w:rsidRDefault="00E21E01">
            <w:pPr>
              <w:pStyle w:val="TableParagraph"/>
              <w:ind w:right="98"/>
            </w:pPr>
            <w:r>
              <w:t xml:space="preserve">(3) Başta zihinsel </w:t>
            </w:r>
            <w:r>
              <w:rPr>
                <w:strike/>
                <w:color w:val="FF0000"/>
              </w:rPr>
              <w:t>özürl</w:t>
            </w:r>
            <w:r>
              <w:rPr>
                <w:strike/>
                <w:color w:val="FF0000"/>
              </w:rPr>
              <w:t xml:space="preserve">ü </w:t>
            </w:r>
            <w:r>
              <w:rPr>
                <w:b/>
                <w:color w:val="00AF50"/>
              </w:rPr>
              <w:t xml:space="preserve">engelli </w:t>
            </w:r>
            <w:r>
              <w:t xml:space="preserve">olmak üzere iletişim kurulamayan veya algılama güçlüğü yaşanan </w:t>
            </w:r>
            <w:r>
              <w:rPr>
                <w:strike/>
                <w:color w:val="FF0000"/>
              </w:rPr>
              <w:t xml:space="preserve">özürlü </w:t>
            </w:r>
            <w:r>
              <w:rPr>
                <w:b/>
                <w:color w:val="00AF50"/>
              </w:rPr>
              <w:t xml:space="preserve">engelli </w:t>
            </w:r>
            <w:r>
              <w:t>kişilerin diş tedavileri, sınırlı uyuşturma altında gerçekleştirilemiyorsa ve genel anestezi veya sedo-analjezi altında müdahale gerekmesi durumunda genel anestezi veya</w:t>
            </w:r>
            <w:r>
              <w:t xml:space="preserve"> sedo-analjezi bedelinin ödenebilmesi için; tedavinin anesteziyoloji ve reanimasyon uzman hekiminin sorumluluğunda genel anestezi  altında cerrahi müdahale uygulanabilen, asgari tıbbi malzeme ve ilaçların bulunduğu genel anestezi ile müdahale birimi olan A</w:t>
            </w:r>
            <w:r>
              <w:t>DSM, tıp merkezleri ve hastanelerin ameliyathane ve  genel anestezi ünitelerinde yapıldığının belgelendirilmesi</w:t>
            </w:r>
            <w:r>
              <w:rPr>
                <w:spacing w:val="-5"/>
              </w:rPr>
              <w:t xml:space="preserve"> </w:t>
            </w:r>
            <w:r>
              <w:t>gerekmektedir.</w:t>
            </w:r>
          </w:p>
        </w:tc>
      </w:tr>
      <w:tr w:rsidR="006033FD">
        <w:trPr>
          <w:trHeight w:hRule="exact" w:val="4400"/>
        </w:trPr>
        <w:tc>
          <w:tcPr>
            <w:tcW w:w="4366" w:type="dxa"/>
          </w:tcPr>
          <w:p w:rsidR="006033FD" w:rsidRDefault="00E21E01">
            <w:pPr>
              <w:pStyle w:val="TableParagraph"/>
              <w:spacing w:line="288" w:lineRule="exact"/>
              <w:rPr>
                <w:b/>
              </w:rPr>
            </w:pPr>
            <w:r>
              <w:rPr>
                <w:b/>
              </w:rPr>
              <w:t>2.4.1.B-2- DiĢ tedavileri ödeme iĢlemleri</w:t>
            </w:r>
          </w:p>
          <w:p w:rsidR="006033FD" w:rsidRDefault="00E21E01">
            <w:pPr>
              <w:pStyle w:val="TableParagraph"/>
              <w:ind w:right="99"/>
            </w:pPr>
            <w:r>
              <w:t xml:space="preserve">(1) Özel sağlık hizmeti sunucuları ile Kurumla sözleşmesi olmayan resmi sağlık hizmeti sunucularından, %40 ve üzeri özürlü hastalara verilen ağız ve diş sağlığı hizmetlerinin ücretleri SUT eki EK-2/Ç Listesinde yer alması şartıyla, SUT eki EK- 2/Ç Listesi </w:t>
            </w:r>
            <w:r>
              <w:t>üzerinden ödenir.</w:t>
            </w:r>
          </w:p>
          <w:p w:rsidR="006033FD" w:rsidRDefault="00E21E01">
            <w:pPr>
              <w:pStyle w:val="TableParagraph"/>
              <w:ind w:right="98"/>
            </w:pPr>
            <w:r>
              <w:t>(4) Özel sağlık hizmeti sunucuları ile Kurumla sözleşmesi olmayan resmi sağlık hizmeti sunucuları diş ünitelerinde %40 ve üzeri özürlü hastalara verilen ağız ve diş sağlığı hizmetleri kapsamında uygulanan protez tedavileri için malzeme da</w:t>
            </w:r>
            <w:r>
              <w:t>hil döküm ve işçilik ücreti</w:t>
            </w:r>
            <w:r>
              <w:rPr>
                <w:spacing w:val="-2"/>
              </w:rPr>
              <w:t xml:space="preserve"> </w:t>
            </w:r>
            <w:r>
              <w:t>ödenmez.</w:t>
            </w:r>
          </w:p>
        </w:tc>
        <w:tc>
          <w:tcPr>
            <w:tcW w:w="4923" w:type="dxa"/>
          </w:tcPr>
          <w:p w:rsidR="006033FD" w:rsidRDefault="00E21E01">
            <w:pPr>
              <w:pStyle w:val="TableParagraph"/>
              <w:spacing w:line="288" w:lineRule="exact"/>
              <w:rPr>
                <w:b/>
              </w:rPr>
            </w:pPr>
            <w:r>
              <w:rPr>
                <w:b/>
              </w:rPr>
              <w:t>2.4.1.B-2- DiĢ tedavileri ödeme iĢlemleri</w:t>
            </w:r>
          </w:p>
          <w:p w:rsidR="006033FD" w:rsidRDefault="00E21E01">
            <w:pPr>
              <w:pStyle w:val="TableParagraph"/>
              <w:ind w:right="98"/>
            </w:pPr>
            <w:r>
              <w:t xml:space="preserve">(1) Özel sağlık hizmeti sunucuları ile Kurumla sözleşmesi olmayan resmi sağlık hizmeti sunucularından, %40 ve üzeri </w:t>
            </w:r>
            <w:r>
              <w:rPr>
                <w:strike/>
                <w:color w:val="FF0000"/>
              </w:rPr>
              <w:t xml:space="preserve">özürlü </w:t>
            </w:r>
            <w:r>
              <w:rPr>
                <w:b/>
                <w:color w:val="00AF50"/>
              </w:rPr>
              <w:t xml:space="preserve">engelli </w:t>
            </w:r>
            <w:r>
              <w:t>hastalara verilen ağız ve diş sağlığı hizmetle</w:t>
            </w:r>
            <w:r>
              <w:t>rinin ücretleri SUT eki EK-2/Ç Listesinde yer alması şartıyla, SUT eki EK-2/Ç Listesi üzerinden ödenir.</w:t>
            </w:r>
          </w:p>
          <w:p w:rsidR="006033FD" w:rsidRDefault="00E21E01">
            <w:pPr>
              <w:pStyle w:val="TableParagraph"/>
              <w:ind w:right="99"/>
            </w:pPr>
            <w:r>
              <w:t xml:space="preserve">(4) Özel sağlık hizmeti sunucuları ile Kurumla sözleşmesi olmayan resmi sağlık hizmeti sunucuları diş ünitelerinde %40 ve üzeri </w:t>
            </w:r>
            <w:r>
              <w:rPr>
                <w:strike/>
                <w:color w:val="FF0000"/>
              </w:rPr>
              <w:t xml:space="preserve">özürlü </w:t>
            </w:r>
            <w:r>
              <w:rPr>
                <w:b/>
                <w:color w:val="00AF50"/>
              </w:rPr>
              <w:t xml:space="preserve">engelli </w:t>
            </w:r>
            <w:r>
              <w:t>hastalara</w:t>
            </w:r>
            <w:r>
              <w:t xml:space="preserve"> verilen ağız ve diş sağlığı hizmetleri kapsamında uygulanan protez tedavileri için malzeme dahil döküm ve işçilik ücreti ödenmez.</w:t>
            </w:r>
          </w:p>
        </w:tc>
      </w:tr>
      <w:tr w:rsidR="006033FD">
        <w:trPr>
          <w:trHeight w:hRule="exact" w:val="1184"/>
        </w:trPr>
        <w:tc>
          <w:tcPr>
            <w:tcW w:w="4366" w:type="dxa"/>
          </w:tcPr>
          <w:p w:rsidR="006033FD" w:rsidRDefault="00E21E01">
            <w:pPr>
              <w:pStyle w:val="TableParagraph"/>
              <w:ind w:right="101"/>
              <w:rPr>
                <w:b/>
              </w:rPr>
            </w:pPr>
            <w:r>
              <w:rPr>
                <w:b/>
              </w:rPr>
              <w:t>2.4.4.F-3 - Kurumla sözleĢmeli özel sağlık hizmeti sunucularında fizik tedavi ve rehabilitasyon uygulamaları</w:t>
            </w:r>
          </w:p>
          <w:p w:rsidR="006033FD" w:rsidRDefault="00E21E01">
            <w:pPr>
              <w:pStyle w:val="TableParagraph"/>
            </w:pPr>
            <w:r>
              <w:t>a)    Özel    sağlık    hizmet    sunucularınca</w:t>
            </w:r>
          </w:p>
        </w:tc>
        <w:tc>
          <w:tcPr>
            <w:tcW w:w="4923" w:type="dxa"/>
          </w:tcPr>
          <w:p w:rsidR="006033FD" w:rsidRDefault="00E21E01">
            <w:pPr>
              <w:pStyle w:val="TableParagraph"/>
              <w:ind w:right="99"/>
              <w:rPr>
                <w:b/>
              </w:rPr>
            </w:pPr>
            <w:r>
              <w:rPr>
                <w:b/>
              </w:rPr>
              <w:t>2.4.4.F-3 - Kurumla sözleĢmeli özel sağlık hizmeti sunucularında fizik tedavi ve rehabilitasyon uygulamaları</w:t>
            </w:r>
          </w:p>
          <w:p w:rsidR="006033FD" w:rsidRDefault="00E21E01">
            <w:pPr>
              <w:pStyle w:val="TableParagraph"/>
            </w:pPr>
            <w:r>
              <w:t>a)   Özel   sağlık   hizmet   sunucularınca  yatarak</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8497"/>
        </w:trPr>
        <w:tc>
          <w:tcPr>
            <w:tcW w:w="4366" w:type="dxa"/>
          </w:tcPr>
          <w:p w:rsidR="006033FD" w:rsidRDefault="00E21E01">
            <w:pPr>
              <w:pStyle w:val="TableParagraph"/>
              <w:tabs>
                <w:tab w:val="left" w:pos="1665"/>
                <w:tab w:val="left" w:pos="3815"/>
              </w:tabs>
              <w:ind w:right="98"/>
            </w:pPr>
            <w:r>
              <w:lastRenderedPageBreak/>
              <w:t xml:space="preserve">yatarak tedavilerde sadece </w:t>
            </w:r>
            <w:r>
              <w:t>SUT eki EK- 2/D-2 Listesinde G80 ve (*) işaretli  tanılarda yapılan uygulamalar Kuruma fatura edilebilir. Bu tedaviler bir yıl içerisinde 60 seansı geçemez. Ancak 3713 sayılı Kanuna göre aylık bağlanmış maluller, 5434 sayılı Türkiye Cumhuriyeti Emekli Sand</w:t>
            </w:r>
            <w:r>
              <w:t>ığı Kanununun 56 ncı maddesi veya 2330 sayılı Kanunun 2 nci maddesinin birinci fıkrasının (e) ve (f) bentlerinde sayılanlardan 3713 sayılı Kanun kapsamına giren olaylar sebebiyle aylık bağlananlar ile 3713 sayılı Kanun kapsamına girmese dahi başkasının yar</w:t>
            </w:r>
            <w:r>
              <w:t>dımı ve desteği olmaksızın yaşamak için gereken hareketleri yapamayacak derecede malul olan vazife ve harp malulü hastalara ve genel sağlık sigortalısı ile bakmakla yükümlü olduğu kişilerden, 3713 sayılı Kanunun 21 inci maddesinde sayılan olaylara maruz ka</w:t>
            </w:r>
            <w:r>
              <w:t>lmaları nedeniyle yaralanan kişilere tedavileri</w:t>
            </w:r>
            <w:r>
              <w:tab/>
              <w:t>sonuçlanıncaya</w:t>
            </w:r>
            <w:r>
              <w:tab/>
              <w:t>veya maluliyetleri kesinleşinceye kadar geçen süre içerisinde SUT’un 2.4.4.F-2  maddesinin üçüncü fıkrasında tanımlanan raporlara istinaden (*) işaretli tanılarda yapılan fizik tedavi ve rehabi</w:t>
            </w:r>
            <w:r>
              <w:t>litasyon uygulamaları ise seans kısıtlaması olmaksızın Kuruma fatura</w:t>
            </w:r>
            <w:r>
              <w:rPr>
                <w:spacing w:val="-7"/>
              </w:rPr>
              <w:t xml:space="preserve"> </w:t>
            </w:r>
            <w:r>
              <w:t>edilebilir.</w:t>
            </w:r>
          </w:p>
        </w:tc>
        <w:tc>
          <w:tcPr>
            <w:tcW w:w="4923" w:type="dxa"/>
          </w:tcPr>
          <w:p w:rsidR="006033FD" w:rsidRDefault="00E21E01">
            <w:pPr>
              <w:pStyle w:val="TableParagraph"/>
              <w:spacing w:line="288" w:lineRule="exact"/>
            </w:pPr>
            <w:r>
              <w:t>tedavilerde sadece SUT eki EK-2/D-2   Listesinde</w:t>
            </w:r>
          </w:p>
          <w:p w:rsidR="006033FD" w:rsidRDefault="00E21E01">
            <w:pPr>
              <w:pStyle w:val="TableParagraph"/>
              <w:ind w:right="99"/>
            </w:pPr>
            <w:r>
              <w:rPr>
                <w:rFonts w:ascii="Times New Roman" w:hAnsi="Times New Roman"/>
                <w:strike/>
                <w:color w:val="FF0000"/>
                <w:spacing w:val="-56"/>
              </w:rPr>
              <w:t xml:space="preserve"> </w:t>
            </w:r>
            <w:r>
              <w:rPr>
                <w:strike/>
                <w:color w:val="FF0000"/>
              </w:rPr>
              <w:t xml:space="preserve">G80 ve (*) işaretli tanılarda </w:t>
            </w:r>
            <w:r>
              <w:rPr>
                <w:b/>
                <w:color w:val="00AF50"/>
              </w:rPr>
              <w:t xml:space="preserve">(D) grubu hariç diğer tanılarda </w:t>
            </w:r>
            <w:r>
              <w:t xml:space="preserve">yapılan uygulamalar Kuruma fatura edilebilir. Bu tedaviler bir </w:t>
            </w:r>
            <w:r>
              <w:t>yıl içerisinde 60 seansı geçemez. Ancak 3713 sayılı Kanuna göre aylık bağlanmış maluller, 5434 sayılı Türkiye Cumhuriyeti Emekli Sandığı Kanununun 56 ncı maddesi veya 2330 sayılı Kanunun 2 nci maddesinin birinci fıkrasının (e) ve (f)  bentlerinde sayılanla</w:t>
            </w:r>
            <w:r>
              <w:t>rdan 3713 sayılı Kanun kapsamına giren olaylar sebebiyle aylık bağlananlar ile 3713 sayılı Kanun kapsamına girmese dahi başkasının yardımı ve desteği olmaksızın yaşamak için gereken hareketleri yapamayacak derecede malul olan vazife ve harp malulü hastalar</w:t>
            </w:r>
            <w:r>
              <w:t>a ve genel sağlık sigortalısı ile bakmakla yükümlü olduğu kişilerden, 3713 sayılı Kanunun 21 inci maddesinde sayılan olaylara maruz kalmaları nedeniyle yaralanan kişilere tedavileri sonuçlanıncaya veya maluliyetleri kesinleşinceye kadar geçen süre içerisin</w:t>
            </w:r>
            <w:r>
              <w:t>de SUT’un 2.4.4.F-2 maddesinin üçüncü fıkrasında tanımlanan raporlara istinaden (*) işaretli tanılarda yapılan fizik tedavi ve rehabilitasyon uygulamaları ise seans kısıtlaması olmaksızın Kuruma fatura</w:t>
            </w:r>
            <w:r>
              <w:rPr>
                <w:spacing w:val="-7"/>
              </w:rPr>
              <w:t xml:space="preserve"> </w:t>
            </w:r>
            <w:r>
              <w:t>edilebilir.</w:t>
            </w:r>
          </w:p>
        </w:tc>
      </w:tr>
      <w:tr w:rsidR="006033FD">
        <w:trPr>
          <w:trHeight w:hRule="exact" w:val="5279"/>
        </w:trPr>
        <w:tc>
          <w:tcPr>
            <w:tcW w:w="4366" w:type="dxa"/>
          </w:tcPr>
          <w:p w:rsidR="006033FD" w:rsidRDefault="00E21E01">
            <w:pPr>
              <w:pStyle w:val="TableParagraph"/>
              <w:ind w:right="101"/>
              <w:rPr>
                <w:b/>
              </w:rPr>
            </w:pPr>
            <w:r>
              <w:rPr>
                <w:b/>
              </w:rPr>
              <w:t>2.4.4.F-3 - Kurumla sözleĢmeli özel sağlık hizmeti sunucularında fizik tedavi ve rehabilitasyon uygulamaları</w:t>
            </w:r>
          </w:p>
          <w:p w:rsidR="006033FD" w:rsidRDefault="00E21E01">
            <w:pPr>
              <w:pStyle w:val="TableParagraph"/>
              <w:ind w:right="99"/>
            </w:pPr>
            <w:r>
              <w:t xml:space="preserve">d) Ayaktan fizik tedavi ve rehabilitasyon uygulamalarında, Kurumumuzla sözleşmeli fizik tedavi ve rehabilitasyon hizmeti veren özel sağlık hizmeti </w:t>
            </w:r>
            <w:r>
              <w:t>sunucularında görev yapan fizik tedavi ve rehabilitasyon uzman hekimi için günlük en fazla sekiz saat üzerinden fizik tedavi ve rehabilitasyon uygulaması Kuruma fatura edilir.  Günlük en fazla sekiz saat üzerinden Kuruma fatura edilebilecek fizik tedavi ve</w:t>
            </w:r>
            <w:r>
              <w:t xml:space="preserve"> rehabilitasyon uygulaması birden fazla sağlık hizmeti sunucusunda çalışan hekim için de geçerlidir. Bir fizik tedavi ve rehabilitasyon uzman hekimi ve bir fizyoterapist       için       (A)     </w:t>
            </w:r>
            <w:r>
              <w:rPr>
                <w:spacing w:val="34"/>
              </w:rPr>
              <w:t xml:space="preserve"> </w:t>
            </w:r>
            <w:r>
              <w:t>grubundaki</w:t>
            </w:r>
          </w:p>
        </w:tc>
        <w:tc>
          <w:tcPr>
            <w:tcW w:w="4923" w:type="dxa"/>
          </w:tcPr>
          <w:p w:rsidR="006033FD" w:rsidRDefault="00E21E01">
            <w:pPr>
              <w:pStyle w:val="TableParagraph"/>
              <w:ind w:right="99"/>
              <w:rPr>
                <w:b/>
              </w:rPr>
            </w:pPr>
            <w:r>
              <w:rPr>
                <w:b/>
              </w:rPr>
              <w:t>2.4.4.F-3 - Kurumla sözleĢmeli özel sağlık hizmet</w:t>
            </w:r>
            <w:r>
              <w:rPr>
                <w:b/>
              </w:rPr>
              <w:t>i sunucularında fizik tedavi ve rehabilitasyon uygulamaları</w:t>
            </w:r>
          </w:p>
          <w:p w:rsidR="006033FD" w:rsidRDefault="00E21E01">
            <w:pPr>
              <w:pStyle w:val="TableParagraph"/>
              <w:ind w:right="98"/>
            </w:pPr>
            <w:r>
              <w:t>d) Ayaktan fizik tedavi ve rehabilitasyon uygulamalarında, Kurumumuzla sözleşmeli fizik tedavi ve rehabilitasyon hizmeti veren özel  sağlık hizmeti sunucularında görev yapan fizik tedavi ve rehabi</w:t>
            </w:r>
            <w:r>
              <w:t>litasyon uzman hekimi için günlük en fazla sekiz saat üzerinden fizik tedavi ve rehabilitasyon uygulaması Kuruma fatura edilir. Günlük en fazla sekiz saat üzerinden Kuruma fatura edilebilecek fizik tedavi ve rehabilitasyon uygulaması birden fazla sağlık hi</w:t>
            </w:r>
            <w:r>
              <w:t xml:space="preserve">zmeti sunucusunda çalışan hekim için de geçerlidir. Bir fizik tedavi ve rehabilitasyon uzman hekimi ve bir fizyoterapist için (A) grubundaki işlemlerden günlük en fazla sekiz hastanın,   (A)   ve   (B)   grubundaki </w:t>
            </w:r>
            <w:r>
              <w:rPr>
                <w:spacing w:val="7"/>
              </w:rPr>
              <w:t xml:space="preserve"> </w:t>
            </w:r>
            <w:r>
              <w:t>işlemlerden</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6743"/>
        </w:trPr>
        <w:tc>
          <w:tcPr>
            <w:tcW w:w="4366" w:type="dxa"/>
          </w:tcPr>
          <w:p w:rsidR="006033FD" w:rsidRDefault="00E21E01">
            <w:pPr>
              <w:pStyle w:val="TableParagraph"/>
              <w:spacing w:line="288" w:lineRule="exact"/>
            </w:pPr>
            <w:r>
              <w:lastRenderedPageBreak/>
              <w:t>işlemlerden günlük en fazla sekiz hastanın,</w:t>
            </w:r>
          </w:p>
          <w:p w:rsidR="006033FD" w:rsidRDefault="00E21E01">
            <w:pPr>
              <w:pStyle w:val="TableParagraph"/>
              <w:ind w:right="99"/>
            </w:pPr>
            <w:r>
              <w:t>(A) ve (B) grubundaki işlemlerden günlük toplam en fazla on altı hastanın, bir fizik tedavi ve rehabilitasyon uzman hekimi için ilave olarak (C) grubundaki işlemlerden günlük en fazla otuz iki hastanın, (C) ve (D</w:t>
            </w:r>
            <w:r>
              <w:t>) grubundaki işlemlerden ise günlük toplam en fazla altmış dört hastanın işlemi  Kuruma fatura edilir. Kurumumuzla sözleşmeli fizik tedavi ve rehabilitasyon hizmeti veren özel sağlık hizmeti sunucularında gerçekleştirilecek olan günlük muayene sayısı, fizi</w:t>
            </w:r>
            <w:r>
              <w:t>k tedavi ve rehabilitasyon uygulama sayısına dahil değildir. SUT eki EK-2/D-2 Listesinde yer alan G80 ve (*) işaretli tanılarda verilen yatarak fizik tedavi ve rehabilitasyon uygulamalarında ise bu hasta sayıları dikkate</w:t>
            </w:r>
            <w:r>
              <w:rPr>
                <w:spacing w:val="-1"/>
              </w:rPr>
              <w:t xml:space="preserve"> </w:t>
            </w:r>
            <w:r>
              <w:t>alınmaz.</w:t>
            </w:r>
          </w:p>
        </w:tc>
        <w:tc>
          <w:tcPr>
            <w:tcW w:w="4923" w:type="dxa"/>
          </w:tcPr>
          <w:p w:rsidR="006033FD" w:rsidRDefault="00E21E01">
            <w:pPr>
              <w:pStyle w:val="TableParagraph"/>
              <w:ind w:right="98"/>
            </w:pPr>
            <w:r>
              <w:t xml:space="preserve">günlük toplam en fazla on </w:t>
            </w:r>
            <w:r>
              <w:t xml:space="preserve">altı hastanın, bir fizik tedavi ve rehabilitasyon uzman hekimi </w:t>
            </w:r>
            <w:r>
              <w:rPr>
                <w:b/>
                <w:color w:val="00AF50"/>
              </w:rPr>
              <w:t>ile iki fizyoterapist için; (A) ve (B) grubundaki iĢlemlerden günlük toplam en fazla on altı hastanın iĢlemi Kuruma fatura edilir</w:t>
            </w:r>
            <w:r>
              <w:rPr>
                <w:color w:val="211F1F"/>
              </w:rPr>
              <w:t xml:space="preserve">. </w:t>
            </w:r>
            <w:r>
              <w:rPr>
                <w:strike/>
                <w:color w:val="FF0000"/>
              </w:rPr>
              <w:t>için ilave</w:t>
            </w:r>
          </w:p>
          <w:p w:rsidR="006033FD" w:rsidRDefault="00E21E01">
            <w:pPr>
              <w:pStyle w:val="TableParagraph"/>
            </w:pPr>
            <w:r>
              <w:rPr>
                <w:rFonts w:ascii="Times New Roman" w:hAnsi="Times New Roman"/>
                <w:strike/>
                <w:color w:val="FF0000"/>
                <w:spacing w:val="-56"/>
              </w:rPr>
              <w:t xml:space="preserve"> </w:t>
            </w:r>
            <w:r>
              <w:rPr>
                <w:strike/>
                <w:color w:val="FF0000"/>
              </w:rPr>
              <w:t>olarak  (C)  grubundaki  işlemlerden  günlük   en</w:t>
            </w:r>
          </w:p>
          <w:p w:rsidR="006033FD" w:rsidRDefault="00E21E01">
            <w:pPr>
              <w:pStyle w:val="TableParagraph"/>
            </w:pPr>
            <w:r>
              <w:rPr>
                <w:rFonts w:ascii="Times New Roman" w:hAnsi="Times New Roman"/>
                <w:strike/>
                <w:color w:val="FF0000"/>
                <w:spacing w:val="-56"/>
              </w:rPr>
              <w:t xml:space="preserve"> </w:t>
            </w:r>
            <w:r>
              <w:rPr>
                <w:strike/>
                <w:color w:val="FF0000"/>
              </w:rPr>
              <w:t>fazla  otuz  iki  hastanın,  (C)  ve  (D)  grubundaki</w:t>
            </w:r>
          </w:p>
          <w:p w:rsidR="006033FD" w:rsidRDefault="00E21E01">
            <w:pPr>
              <w:pStyle w:val="TableParagraph"/>
            </w:pPr>
            <w:r>
              <w:rPr>
                <w:rFonts w:ascii="Times New Roman" w:hAnsi="Times New Roman"/>
                <w:strike/>
                <w:color w:val="FF0000"/>
                <w:spacing w:val="-56"/>
              </w:rPr>
              <w:t xml:space="preserve"> </w:t>
            </w:r>
            <w:r>
              <w:rPr>
                <w:strike/>
                <w:color w:val="FF0000"/>
              </w:rPr>
              <w:t>işlemlerden  ise  günlük  toplam  en  fazla altmış</w:t>
            </w:r>
          </w:p>
          <w:p w:rsidR="006033FD" w:rsidRDefault="00E21E01">
            <w:pPr>
              <w:pStyle w:val="TableParagraph"/>
              <w:ind w:right="98"/>
            </w:pPr>
            <w:r>
              <w:rPr>
                <w:rFonts w:ascii="Times New Roman" w:hAnsi="Times New Roman"/>
                <w:strike/>
                <w:color w:val="FF0000"/>
                <w:spacing w:val="-56"/>
              </w:rPr>
              <w:t xml:space="preserve"> </w:t>
            </w:r>
            <w:r>
              <w:rPr>
                <w:strike/>
                <w:color w:val="FF0000"/>
              </w:rPr>
              <w:t xml:space="preserve">dört hastanın işlemi Kuruma fatura edilir. </w:t>
            </w:r>
            <w:r>
              <w:rPr>
                <w:b/>
                <w:color w:val="00AF50"/>
              </w:rPr>
              <w:t>Bir fizik tedavi ve rehabilitasyon uzman hekimi için ilave olarak (C) grubundaki iĢlemlerden günlük en fa</w:t>
            </w:r>
            <w:r>
              <w:rPr>
                <w:b/>
                <w:color w:val="00AF50"/>
              </w:rPr>
              <w:t>zla otuz iki hastanın, (C) ve (D) grubundaki</w:t>
            </w:r>
            <w:r>
              <w:rPr>
                <w:b/>
                <w:color w:val="00AF50"/>
                <w:spacing w:val="-12"/>
              </w:rPr>
              <w:t xml:space="preserve"> </w:t>
            </w:r>
            <w:r>
              <w:rPr>
                <w:b/>
                <w:color w:val="00AF50"/>
              </w:rPr>
              <w:t>iĢlemlerden</w:t>
            </w:r>
            <w:r>
              <w:rPr>
                <w:b/>
                <w:color w:val="00AF50"/>
                <w:spacing w:val="-11"/>
              </w:rPr>
              <w:t xml:space="preserve"> </w:t>
            </w:r>
            <w:r>
              <w:rPr>
                <w:b/>
                <w:color w:val="00AF50"/>
              </w:rPr>
              <w:t>ise</w:t>
            </w:r>
            <w:r>
              <w:rPr>
                <w:b/>
                <w:color w:val="00AF50"/>
                <w:spacing w:val="-11"/>
              </w:rPr>
              <w:t xml:space="preserve"> </w:t>
            </w:r>
            <w:r>
              <w:rPr>
                <w:b/>
                <w:color w:val="00AF50"/>
              </w:rPr>
              <w:t>günlük</w:t>
            </w:r>
            <w:r>
              <w:rPr>
                <w:b/>
                <w:color w:val="00AF50"/>
                <w:spacing w:val="-12"/>
              </w:rPr>
              <w:t xml:space="preserve"> </w:t>
            </w:r>
            <w:r>
              <w:rPr>
                <w:b/>
                <w:color w:val="00AF50"/>
              </w:rPr>
              <w:t>toplam</w:t>
            </w:r>
            <w:r>
              <w:rPr>
                <w:b/>
                <w:color w:val="00AF50"/>
                <w:spacing w:val="-14"/>
              </w:rPr>
              <w:t xml:space="preserve"> </w:t>
            </w:r>
            <w:r>
              <w:rPr>
                <w:b/>
                <w:color w:val="00AF50"/>
              </w:rPr>
              <w:t xml:space="preserve">en fazla altmıĢ dört hastanın iĢlemi </w:t>
            </w:r>
            <w:r>
              <w:rPr>
                <w:b/>
                <w:color w:val="00AF50"/>
                <w:spacing w:val="-2"/>
              </w:rPr>
              <w:t xml:space="preserve">Kuruma </w:t>
            </w:r>
            <w:r>
              <w:rPr>
                <w:b/>
                <w:color w:val="00AF50"/>
              </w:rPr>
              <w:t xml:space="preserve">fatura edilir. </w:t>
            </w:r>
            <w:r>
              <w:t xml:space="preserve">Kurumumuzla sözleşmeli fizik tedavi ve rehabilitasyon hizmeti veren özel  sağlık hizmeti sunucularında gerçekleştirilecek </w:t>
            </w:r>
            <w:r>
              <w:t>olan günlük muayene sayısı, fizik tedavi ve rehabilitasyon uygulama sayısına dahil değildir. SUT eki EK-2/D-2 Listesinde yer alan G80 ve (*) işaretli tanılarda verilen yatarak fizik tedavi ve rehabilitasyon uygulamalarında ise bu hasta sayıları dikkate</w:t>
            </w:r>
            <w:r>
              <w:rPr>
                <w:spacing w:val="-5"/>
              </w:rPr>
              <w:t xml:space="preserve"> </w:t>
            </w:r>
            <w:r>
              <w:t>alı</w:t>
            </w:r>
            <w:r>
              <w:t>nmaz.</w:t>
            </w:r>
          </w:p>
        </w:tc>
      </w:tr>
      <w:tr w:rsidR="006033FD">
        <w:trPr>
          <w:trHeight w:hRule="exact" w:val="7033"/>
        </w:trPr>
        <w:tc>
          <w:tcPr>
            <w:tcW w:w="4366" w:type="dxa"/>
          </w:tcPr>
          <w:p w:rsidR="006033FD" w:rsidRDefault="00E21E01">
            <w:pPr>
              <w:pStyle w:val="TableParagraph"/>
              <w:ind w:right="102"/>
              <w:rPr>
                <w:b/>
              </w:rPr>
            </w:pPr>
            <w:r>
              <w:rPr>
                <w:b/>
              </w:rPr>
              <w:t>2.4.4.F-6 - Spor hekimliği ile tıbbi ekoloji ve hidroklimatoloji</w:t>
            </w:r>
            <w:r>
              <w:rPr>
                <w:b/>
                <w:spacing w:val="-11"/>
              </w:rPr>
              <w:t xml:space="preserve"> </w:t>
            </w:r>
            <w:r>
              <w:rPr>
                <w:b/>
              </w:rPr>
              <w:t>uygulamaları</w:t>
            </w:r>
          </w:p>
          <w:p w:rsidR="006033FD" w:rsidRDefault="00E21E01">
            <w:pPr>
              <w:pStyle w:val="TableParagraph"/>
              <w:numPr>
                <w:ilvl w:val="0"/>
                <w:numId w:val="9"/>
              </w:numPr>
              <w:tabs>
                <w:tab w:val="left" w:pos="425"/>
              </w:tabs>
              <w:ind w:right="98" w:firstLine="0"/>
              <w:jc w:val="both"/>
            </w:pPr>
            <w:r>
              <w:t>Resmi sağlık kurumlarında görevli; spor hekimlerince sunulan spor hekimliği uygulamalarının bedelinin Kurumca karşılanabilmesi için bu hekimler tarafından, tıbbi ekoloji ve hidroklimatoloji uzman hekimlerince sunulan tıbbi ekoloji ve hidroklimatoloji uygul</w:t>
            </w:r>
            <w:r>
              <w:t>amalarının Kurumca bedelinin karşılanabilmesi için bu uzman hekimler tarafından sağlık raporu düzenlenmesi gereklidir. Düzenlenecek raporda uygulanacak tedavi ve tedavi süresi</w:t>
            </w:r>
            <w:r>
              <w:rPr>
                <w:spacing w:val="-4"/>
              </w:rPr>
              <w:t xml:space="preserve"> </w:t>
            </w:r>
            <w:r>
              <w:t>belirtilecektir.</w:t>
            </w:r>
          </w:p>
          <w:p w:rsidR="006033FD" w:rsidRDefault="00E21E01">
            <w:pPr>
              <w:pStyle w:val="TableParagraph"/>
              <w:numPr>
                <w:ilvl w:val="0"/>
                <w:numId w:val="9"/>
              </w:numPr>
              <w:tabs>
                <w:tab w:val="left" w:pos="430"/>
              </w:tabs>
              <w:ind w:right="99" w:firstLine="0"/>
              <w:jc w:val="both"/>
            </w:pPr>
            <w:r>
              <w:t>Bir hasta için son bir yıl içinde en fazla; aynı bölgeden topla</w:t>
            </w:r>
            <w:r>
              <w:t>m 30 seans, iki farklı vücut bölgesinden toplam 60 seans fizik tedavi ve rehabilitasyon uygulamalarına ait bedeller Kurumca karşılanır. Aynı bölge  için bir yıl içinde en fazla iki sağlık raporu düzenlenebilir. Bölge, seans ve sağlık raporu sayılarının kon</w:t>
            </w:r>
            <w:r>
              <w:t>trollerinde 2.4.4.F- 2(5) fıkrasında belirtilen bölge, seans ve sağlık raporu sayıları da hesaba</w:t>
            </w:r>
            <w:r>
              <w:rPr>
                <w:spacing w:val="-7"/>
              </w:rPr>
              <w:t xml:space="preserve"> </w:t>
            </w:r>
            <w:r>
              <w:t>katılır.</w:t>
            </w:r>
          </w:p>
        </w:tc>
        <w:tc>
          <w:tcPr>
            <w:tcW w:w="4923" w:type="dxa"/>
          </w:tcPr>
          <w:p w:rsidR="006033FD" w:rsidRDefault="006033FD">
            <w:pPr>
              <w:pStyle w:val="TableParagraph"/>
              <w:spacing w:before="10"/>
              <w:ind w:left="0"/>
              <w:jc w:val="left"/>
              <w:rPr>
                <w:rFonts w:ascii="Times New Roman"/>
                <w:sz w:val="24"/>
              </w:rPr>
            </w:pPr>
          </w:p>
          <w:p w:rsidR="006033FD" w:rsidRDefault="00E21E01">
            <w:pPr>
              <w:pStyle w:val="TableParagraph"/>
              <w:ind w:right="123"/>
              <w:jc w:val="left"/>
              <w:rPr>
                <w:b/>
              </w:rPr>
            </w:pPr>
            <w:r>
              <w:rPr>
                <w:b/>
                <w:color w:val="FF0000"/>
              </w:rPr>
              <w:t>KALDIRILDI.</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2060"/>
        </w:trPr>
        <w:tc>
          <w:tcPr>
            <w:tcW w:w="4366" w:type="dxa"/>
          </w:tcPr>
          <w:p w:rsidR="006033FD" w:rsidRDefault="00E21E01">
            <w:pPr>
              <w:pStyle w:val="TableParagraph"/>
              <w:ind w:right="99"/>
            </w:pPr>
            <w:r>
              <w:lastRenderedPageBreak/>
              <w:t>(3) Spor hekimliği ile tıbbi ekoloji ve hidroklimatoloji uzman hekimlerince SUT eki EK-2/D-2 Listesinde yer alan tanılarda yapılan fizik tedavi ve rehabilitasyon uygulamaları SUT eki EK-2/C Listesindeki “P915030” kodlu işlem puanı esas alınarak faturalandı</w:t>
            </w:r>
            <w:r>
              <w:t>rılır.</w:t>
            </w:r>
          </w:p>
        </w:tc>
        <w:tc>
          <w:tcPr>
            <w:tcW w:w="4923" w:type="dxa"/>
          </w:tcPr>
          <w:p w:rsidR="006033FD" w:rsidRDefault="006033FD"/>
        </w:tc>
      </w:tr>
      <w:tr w:rsidR="006033FD">
        <w:trPr>
          <w:trHeight w:hRule="exact" w:val="1368"/>
        </w:trPr>
        <w:tc>
          <w:tcPr>
            <w:tcW w:w="4366" w:type="dxa"/>
          </w:tcPr>
          <w:p w:rsidR="006033FD" w:rsidRDefault="00E21E01">
            <w:pPr>
              <w:pStyle w:val="TableParagraph"/>
              <w:tabs>
                <w:tab w:val="left" w:pos="885"/>
                <w:tab w:val="left" w:pos="1255"/>
                <w:tab w:val="left" w:pos="1993"/>
                <w:tab w:val="left" w:pos="2912"/>
                <w:tab w:val="left" w:pos="4012"/>
              </w:tabs>
              <w:spacing w:line="196" w:lineRule="auto"/>
              <w:ind w:right="104"/>
              <w:jc w:val="left"/>
              <w:rPr>
                <w:b/>
              </w:rPr>
            </w:pPr>
            <w:r>
              <w:rPr>
                <w:b/>
              </w:rPr>
              <w:t>3.3.1</w:t>
            </w:r>
            <w:r>
              <w:rPr>
                <w:b/>
              </w:rPr>
              <w:tab/>
              <w:t>-</w:t>
            </w:r>
            <w:r>
              <w:rPr>
                <w:b/>
              </w:rPr>
              <w:tab/>
              <w:t>Yara</w:t>
            </w:r>
            <w:r>
              <w:rPr>
                <w:b/>
              </w:rPr>
              <w:tab/>
              <w:t>bakım</w:t>
            </w:r>
            <w:r>
              <w:rPr>
                <w:b/>
              </w:rPr>
              <w:tab/>
              <w:t>ürünleri</w:t>
            </w:r>
            <w:r>
              <w:rPr>
                <w:b/>
              </w:rPr>
              <w:tab/>
              <w:t>ve Antimikrobiyal</w:t>
            </w:r>
            <w:r>
              <w:rPr>
                <w:b/>
                <w:spacing w:val="-6"/>
              </w:rPr>
              <w:t xml:space="preserve"> </w:t>
            </w:r>
            <w:r>
              <w:rPr>
                <w:b/>
              </w:rPr>
              <w:t>Örtüler</w:t>
            </w:r>
          </w:p>
          <w:p w:rsidR="006033FD" w:rsidRDefault="00E21E01">
            <w:pPr>
              <w:pStyle w:val="TableParagraph"/>
              <w:ind w:right="116"/>
              <w:jc w:val="left"/>
            </w:pPr>
            <w:r>
              <w:t>(5) Sağlık kurulu raporları ayakta tedavide 2 ay, yatarak tedavilerde ise yatış süresince geçerlidir.</w:t>
            </w:r>
          </w:p>
        </w:tc>
        <w:tc>
          <w:tcPr>
            <w:tcW w:w="4923" w:type="dxa"/>
          </w:tcPr>
          <w:p w:rsidR="006033FD" w:rsidRDefault="00E21E01">
            <w:pPr>
              <w:pStyle w:val="TableParagraph"/>
              <w:spacing w:line="196" w:lineRule="auto"/>
              <w:jc w:val="left"/>
              <w:rPr>
                <w:b/>
              </w:rPr>
            </w:pPr>
            <w:r>
              <w:rPr>
                <w:b/>
              </w:rPr>
              <w:t>3.3.1 - Yara bakım ürünleri ve Antimikrobiyal Örtüler</w:t>
            </w:r>
          </w:p>
          <w:p w:rsidR="006033FD" w:rsidRDefault="00E21E01">
            <w:pPr>
              <w:pStyle w:val="TableParagraph"/>
              <w:ind w:right="157"/>
              <w:jc w:val="left"/>
            </w:pPr>
            <w:r>
              <w:t xml:space="preserve">(5) Sağlık kurulu raporları </w:t>
            </w:r>
            <w:r>
              <w:rPr>
                <w:strike/>
                <w:color w:val="FF0000"/>
              </w:rPr>
              <w:t xml:space="preserve">ayakta tedavide 2 ay, </w:t>
            </w:r>
            <w:r>
              <w:t xml:space="preserve">yatarak tedavilerde </w:t>
            </w:r>
            <w:r>
              <w:rPr>
                <w:strike/>
                <w:color w:val="FF0000"/>
              </w:rPr>
              <w:t xml:space="preserve">ise </w:t>
            </w:r>
            <w:r>
              <w:t>yatış süresince geçerlidir.</w:t>
            </w:r>
          </w:p>
        </w:tc>
      </w:tr>
      <w:tr w:rsidR="006033FD">
        <w:trPr>
          <w:trHeight w:hRule="exact" w:val="970"/>
        </w:trPr>
        <w:tc>
          <w:tcPr>
            <w:tcW w:w="4366" w:type="dxa"/>
          </w:tcPr>
          <w:p w:rsidR="006033FD" w:rsidRDefault="00E21E01">
            <w:pPr>
              <w:pStyle w:val="TableParagraph"/>
              <w:tabs>
                <w:tab w:val="left" w:pos="885"/>
                <w:tab w:val="left" w:pos="1255"/>
                <w:tab w:val="left" w:pos="1993"/>
                <w:tab w:val="left" w:pos="2912"/>
                <w:tab w:val="left" w:pos="4012"/>
              </w:tabs>
              <w:spacing w:line="196" w:lineRule="auto"/>
              <w:ind w:right="104"/>
              <w:jc w:val="left"/>
              <w:rPr>
                <w:b/>
              </w:rPr>
            </w:pPr>
            <w:r>
              <w:rPr>
                <w:b/>
              </w:rPr>
              <w:t>3.3.1</w:t>
            </w:r>
            <w:r>
              <w:rPr>
                <w:b/>
              </w:rPr>
              <w:tab/>
              <w:t>-</w:t>
            </w:r>
            <w:r>
              <w:rPr>
                <w:b/>
              </w:rPr>
              <w:tab/>
              <w:t>Yara</w:t>
            </w:r>
            <w:r>
              <w:rPr>
                <w:b/>
              </w:rPr>
              <w:tab/>
              <w:t>bakım</w:t>
            </w:r>
            <w:r>
              <w:rPr>
                <w:b/>
              </w:rPr>
              <w:tab/>
              <w:t>ürünleri</w:t>
            </w:r>
            <w:r>
              <w:rPr>
                <w:b/>
              </w:rPr>
              <w:tab/>
              <w:t>ve Antimikrobiyal</w:t>
            </w:r>
            <w:r>
              <w:rPr>
                <w:b/>
                <w:spacing w:val="-7"/>
              </w:rPr>
              <w:t xml:space="preserve"> </w:t>
            </w:r>
            <w:r>
              <w:rPr>
                <w:b/>
              </w:rPr>
              <w:t>Örtüler</w:t>
            </w:r>
          </w:p>
          <w:p w:rsidR="006033FD" w:rsidRDefault="00E21E01">
            <w:pPr>
              <w:pStyle w:val="TableParagraph"/>
              <w:spacing w:before="2" w:line="240" w:lineRule="exact"/>
              <w:ind w:right="104"/>
              <w:jc w:val="left"/>
            </w:pPr>
            <w:r>
              <w:t>(7) Tek reçetede en fazla 15 günlük miktar yazılabilir.</w:t>
            </w:r>
          </w:p>
        </w:tc>
        <w:tc>
          <w:tcPr>
            <w:tcW w:w="4923" w:type="dxa"/>
          </w:tcPr>
          <w:p w:rsidR="006033FD" w:rsidRDefault="006033FD">
            <w:pPr>
              <w:pStyle w:val="TableParagraph"/>
              <w:spacing w:before="10"/>
              <w:ind w:left="0"/>
              <w:jc w:val="left"/>
              <w:rPr>
                <w:rFonts w:ascii="Times New Roman"/>
                <w:sz w:val="24"/>
              </w:rPr>
            </w:pPr>
          </w:p>
          <w:p w:rsidR="006033FD" w:rsidRDefault="00E21E01">
            <w:pPr>
              <w:pStyle w:val="TableParagraph"/>
              <w:ind w:right="123"/>
              <w:jc w:val="left"/>
              <w:rPr>
                <w:b/>
              </w:rPr>
            </w:pPr>
            <w:r>
              <w:rPr>
                <w:b/>
                <w:color w:val="FF0000"/>
              </w:rPr>
              <w:t>KALDIRILDI.</w:t>
            </w:r>
          </w:p>
        </w:tc>
      </w:tr>
      <w:tr w:rsidR="006033FD">
        <w:trPr>
          <w:trHeight w:hRule="exact" w:val="2059"/>
        </w:trPr>
        <w:tc>
          <w:tcPr>
            <w:tcW w:w="4366" w:type="dxa"/>
          </w:tcPr>
          <w:p w:rsidR="006033FD" w:rsidRDefault="00E21E01">
            <w:pPr>
              <w:pStyle w:val="TableParagraph"/>
              <w:spacing w:line="286" w:lineRule="exact"/>
              <w:rPr>
                <w:b/>
              </w:rPr>
            </w:pPr>
            <w:r>
              <w:rPr>
                <w:b/>
              </w:rPr>
              <w:t>3.3.2 - ġeker ölçüm çubukları</w:t>
            </w:r>
          </w:p>
          <w:p w:rsidR="006033FD" w:rsidRDefault="00E21E01">
            <w:pPr>
              <w:pStyle w:val="TableParagraph"/>
              <w:ind w:right="100"/>
            </w:pPr>
            <w:r>
              <w:t>b) Kan şekeri ölçüm cihazlarına ait  bedeller, Kurumca karşılanacaktır. Kan şekeri ölçüm cihazının yenilenme süresi 2 yıldır. Bu süreden önce temin edilen kan şekeri ölçüm cihazının bedeli Kurumca ödenmez.</w:t>
            </w:r>
          </w:p>
        </w:tc>
        <w:tc>
          <w:tcPr>
            <w:tcW w:w="4923" w:type="dxa"/>
          </w:tcPr>
          <w:p w:rsidR="006033FD" w:rsidRDefault="006033FD">
            <w:pPr>
              <w:pStyle w:val="TableParagraph"/>
              <w:spacing w:before="9"/>
              <w:ind w:left="0"/>
              <w:jc w:val="left"/>
              <w:rPr>
                <w:rFonts w:ascii="Times New Roman"/>
                <w:sz w:val="24"/>
              </w:rPr>
            </w:pPr>
          </w:p>
          <w:p w:rsidR="006033FD" w:rsidRDefault="00E21E01">
            <w:pPr>
              <w:pStyle w:val="TableParagraph"/>
              <w:spacing w:before="1"/>
              <w:ind w:right="123"/>
              <w:jc w:val="left"/>
              <w:rPr>
                <w:b/>
              </w:rPr>
            </w:pPr>
            <w:r>
              <w:rPr>
                <w:b/>
                <w:color w:val="FF0000"/>
              </w:rPr>
              <w:t>KALDIRILDI.</w:t>
            </w:r>
          </w:p>
        </w:tc>
      </w:tr>
      <w:tr w:rsidR="006033FD">
        <w:trPr>
          <w:trHeight w:hRule="exact" w:val="1181"/>
        </w:trPr>
        <w:tc>
          <w:tcPr>
            <w:tcW w:w="4366" w:type="dxa"/>
          </w:tcPr>
          <w:p w:rsidR="006033FD" w:rsidRDefault="00E21E01">
            <w:pPr>
              <w:pStyle w:val="TableParagraph"/>
              <w:spacing w:line="286" w:lineRule="exact"/>
              <w:rPr>
                <w:b/>
              </w:rPr>
            </w:pPr>
            <w:r>
              <w:rPr>
                <w:b/>
              </w:rPr>
              <w:t>3.3.2 - ġeker ölçüm çubukları</w:t>
            </w:r>
          </w:p>
          <w:p w:rsidR="006033FD" w:rsidRDefault="00E21E01">
            <w:pPr>
              <w:pStyle w:val="TableParagraph"/>
              <w:ind w:right="100"/>
            </w:pPr>
            <w:r>
              <w:t>d) Kan şekeri ölçüm çubukları ve kan  şekeri ölçüm cihazları, sözleşmeli eczanelerden temin</w:t>
            </w:r>
            <w:r>
              <w:rPr>
                <w:spacing w:val="-7"/>
              </w:rPr>
              <w:t xml:space="preserve"> </w:t>
            </w:r>
            <w:r>
              <w:t>edilecektir.</w:t>
            </w:r>
          </w:p>
        </w:tc>
        <w:tc>
          <w:tcPr>
            <w:tcW w:w="4923" w:type="dxa"/>
          </w:tcPr>
          <w:p w:rsidR="006033FD" w:rsidRDefault="00E21E01">
            <w:pPr>
              <w:pStyle w:val="TableParagraph"/>
              <w:spacing w:line="286" w:lineRule="exact"/>
              <w:ind w:right="123"/>
              <w:jc w:val="left"/>
              <w:rPr>
                <w:b/>
              </w:rPr>
            </w:pPr>
            <w:r>
              <w:rPr>
                <w:b/>
              </w:rPr>
              <w:t>3.3.2 - ġeker ölçüm çubukları</w:t>
            </w:r>
          </w:p>
          <w:p w:rsidR="006033FD" w:rsidRDefault="00E21E01">
            <w:pPr>
              <w:pStyle w:val="TableParagraph"/>
              <w:jc w:val="left"/>
            </w:pPr>
            <w:r>
              <w:t xml:space="preserve">d)  Kan  şekeri  ölçüm  çubukları  </w:t>
            </w:r>
            <w:r>
              <w:rPr>
                <w:strike/>
                <w:color w:val="FF0000"/>
              </w:rPr>
              <w:t>ve  kan    şekeri</w:t>
            </w:r>
          </w:p>
          <w:p w:rsidR="006033FD" w:rsidRDefault="00E21E01">
            <w:pPr>
              <w:pStyle w:val="TableParagraph"/>
              <w:ind w:right="123"/>
              <w:jc w:val="left"/>
            </w:pPr>
            <w:r>
              <w:rPr>
                <w:rFonts w:ascii="Times New Roman" w:hAnsi="Times New Roman"/>
                <w:strike/>
                <w:color w:val="FF0000"/>
                <w:spacing w:val="-56"/>
              </w:rPr>
              <w:t xml:space="preserve"> </w:t>
            </w:r>
            <w:r>
              <w:rPr>
                <w:strike/>
                <w:color w:val="FF0000"/>
              </w:rPr>
              <w:t xml:space="preserve">ölçüm cihazları, </w:t>
            </w:r>
            <w:r>
              <w:t>sözleşmeli eczanelerden temin edilecektir.</w:t>
            </w:r>
          </w:p>
        </w:tc>
      </w:tr>
      <w:tr w:rsidR="006033FD">
        <w:trPr>
          <w:trHeight w:hRule="exact" w:val="2057"/>
        </w:trPr>
        <w:tc>
          <w:tcPr>
            <w:tcW w:w="4366" w:type="dxa"/>
          </w:tcPr>
          <w:p w:rsidR="006033FD" w:rsidRDefault="00E21E01">
            <w:pPr>
              <w:pStyle w:val="TableParagraph"/>
              <w:spacing w:line="286" w:lineRule="exact"/>
              <w:rPr>
                <w:b/>
              </w:rPr>
            </w:pPr>
            <w:r>
              <w:rPr>
                <w:b/>
              </w:rPr>
              <w:t>4.1.5 - Elektronik reçete uygulaması</w:t>
            </w:r>
          </w:p>
          <w:p w:rsidR="006033FD" w:rsidRDefault="00E21E01">
            <w:pPr>
              <w:pStyle w:val="TableParagraph"/>
              <w:ind w:right="99"/>
            </w:pPr>
            <w:r>
              <w:t>(3) Kurum tarafından gerekli düzenlenmeler tamamlanıncaya kadar manuel olarak düzenlenmeye devam edilecek olan</w:t>
            </w:r>
            <w:r>
              <w:rPr>
                <w:spacing w:val="-3"/>
              </w:rPr>
              <w:t xml:space="preserve"> </w:t>
            </w:r>
            <w:r>
              <w:t>reçeteler;</w:t>
            </w:r>
          </w:p>
        </w:tc>
        <w:tc>
          <w:tcPr>
            <w:tcW w:w="4923" w:type="dxa"/>
          </w:tcPr>
          <w:p w:rsidR="006033FD" w:rsidRDefault="00E21E01">
            <w:pPr>
              <w:pStyle w:val="TableParagraph"/>
              <w:spacing w:line="286" w:lineRule="exact"/>
              <w:rPr>
                <w:b/>
              </w:rPr>
            </w:pPr>
            <w:r>
              <w:rPr>
                <w:b/>
              </w:rPr>
              <w:t>4.1.5 - Elektronik reçete uygulaması</w:t>
            </w:r>
          </w:p>
          <w:p w:rsidR="006033FD" w:rsidRDefault="00E21E01">
            <w:pPr>
              <w:pStyle w:val="TableParagraph"/>
              <w:ind w:right="100"/>
            </w:pPr>
            <w:r>
              <w:t>(3) Kurum tarafından gerekli düzenlenmeler tamamlanıncaya ka</w:t>
            </w:r>
            <w:r>
              <w:t>dar manuel olarak düzenlenmeye devam edilecek olan reçeteler;</w:t>
            </w:r>
          </w:p>
          <w:p w:rsidR="006033FD" w:rsidRDefault="00E21E01">
            <w:pPr>
              <w:pStyle w:val="TableParagraph"/>
              <w:ind w:right="99"/>
              <w:rPr>
                <w:b/>
              </w:rPr>
            </w:pPr>
            <w:r>
              <w:rPr>
                <w:b/>
                <w:color w:val="00AF50"/>
              </w:rPr>
              <w:t>ğ) “Evde Bakım Hizmetleri Sunumu Hakkında Yönetmelik” kapsamında hizmet veren merkez veya birimlerce düzenlenen reçeteler.</w:t>
            </w:r>
          </w:p>
        </w:tc>
      </w:tr>
      <w:tr w:rsidR="006033FD">
        <w:trPr>
          <w:trHeight w:hRule="exact" w:val="4110"/>
        </w:trPr>
        <w:tc>
          <w:tcPr>
            <w:tcW w:w="4366" w:type="dxa"/>
          </w:tcPr>
          <w:p w:rsidR="006033FD" w:rsidRDefault="00E21E01">
            <w:pPr>
              <w:pStyle w:val="TableParagraph"/>
              <w:ind w:right="747"/>
              <w:jc w:val="left"/>
              <w:rPr>
                <w:b/>
              </w:rPr>
            </w:pPr>
            <w:r>
              <w:rPr>
                <w:b/>
              </w:rPr>
              <w:t>4.2.14.C - Özel düzenleme yapılan ilaçlar;</w:t>
            </w:r>
          </w:p>
          <w:p w:rsidR="006033FD" w:rsidRDefault="006033FD">
            <w:pPr>
              <w:pStyle w:val="TableParagraph"/>
              <w:ind w:left="0"/>
              <w:jc w:val="left"/>
              <w:rPr>
                <w:rFonts w:ascii="Times New Roman"/>
              </w:rPr>
            </w:pPr>
          </w:p>
          <w:p w:rsidR="006033FD" w:rsidRDefault="006033FD">
            <w:pPr>
              <w:pStyle w:val="TableParagraph"/>
              <w:spacing w:before="10"/>
              <w:ind w:left="0"/>
              <w:jc w:val="left"/>
              <w:rPr>
                <w:rFonts w:ascii="Times New Roman"/>
                <w:sz w:val="28"/>
              </w:rPr>
            </w:pPr>
          </w:p>
          <w:p w:rsidR="006033FD" w:rsidRDefault="00E21E01">
            <w:pPr>
              <w:pStyle w:val="TableParagraph"/>
              <w:spacing w:before="1"/>
              <w:ind w:right="337"/>
              <w:jc w:val="left"/>
              <w:rPr>
                <w:b/>
              </w:rPr>
            </w:pPr>
            <w:r>
              <w:rPr>
                <w:b/>
                <w:color w:val="00AF50"/>
                <w:spacing w:val="-2"/>
              </w:rPr>
              <w:t>Y</w:t>
            </w:r>
            <w:r>
              <w:rPr>
                <w:b/>
                <w:color w:val="00AF50"/>
                <w:spacing w:val="-5"/>
              </w:rPr>
              <w:t>E</w:t>
            </w:r>
            <w:r>
              <w:rPr>
                <w:b/>
                <w:color w:val="00AF50"/>
                <w:spacing w:val="-2"/>
              </w:rPr>
              <w:t>N</w:t>
            </w:r>
            <w:r>
              <w:rPr>
                <w:b/>
                <w:color w:val="00AF50"/>
                <w:w w:val="44"/>
              </w:rPr>
              <w:t>Ġ</w:t>
            </w:r>
            <w:r>
              <w:rPr>
                <w:b/>
                <w:color w:val="00AF50"/>
                <w:spacing w:val="-9"/>
              </w:rPr>
              <w:t xml:space="preserve"> </w:t>
            </w:r>
            <w:r>
              <w:rPr>
                <w:b/>
                <w:color w:val="00AF50"/>
                <w:spacing w:val="-3"/>
              </w:rPr>
              <w:t>E</w:t>
            </w:r>
            <w:r>
              <w:rPr>
                <w:b/>
                <w:color w:val="00AF50"/>
                <w:spacing w:val="-5"/>
              </w:rPr>
              <w:t>K</w:t>
            </w:r>
            <w:r>
              <w:rPr>
                <w:b/>
                <w:color w:val="00AF50"/>
                <w:spacing w:val="-3"/>
              </w:rPr>
              <w:t>L</w:t>
            </w:r>
            <w:r>
              <w:rPr>
                <w:b/>
                <w:color w:val="00AF50"/>
                <w:spacing w:val="-5"/>
              </w:rPr>
              <w:t>E</w:t>
            </w:r>
            <w:r>
              <w:rPr>
                <w:b/>
                <w:color w:val="00AF50"/>
                <w:spacing w:val="-4"/>
              </w:rPr>
              <w:t>N</w:t>
            </w:r>
            <w:r>
              <w:rPr>
                <w:b/>
                <w:color w:val="00AF50"/>
                <w:spacing w:val="-2"/>
              </w:rPr>
              <w:t>D</w:t>
            </w:r>
            <w:r>
              <w:rPr>
                <w:b/>
                <w:color w:val="00AF50"/>
                <w:spacing w:val="-3"/>
                <w:w w:val="44"/>
              </w:rPr>
              <w:t>Ġ</w:t>
            </w:r>
            <w:r>
              <w:rPr>
                <w:b/>
                <w:color w:val="00AF50"/>
              </w:rPr>
              <w:t>.</w:t>
            </w:r>
          </w:p>
        </w:tc>
        <w:tc>
          <w:tcPr>
            <w:tcW w:w="4923" w:type="dxa"/>
          </w:tcPr>
          <w:p w:rsidR="006033FD" w:rsidRDefault="00E21E01">
            <w:pPr>
              <w:pStyle w:val="TableParagraph"/>
              <w:spacing w:line="286" w:lineRule="exact"/>
              <w:rPr>
                <w:b/>
              </w:rPr>
            </w:pPr>
            <w:r>
              <w:rPr>
                <w:b/>
              </w:rPr>
              <w:t>4.2.14.C - Özel düzenleme yapılan ilaçlar;</w:t>
            </w:r>
          </w:p>
          <w:p w:rsidR="006033FD" w:rsidRDefault="00E21E01">
            <w:pPr>
              <w:pStyle w:val="TableParagraph"/>
              <w:ind w:right="98"/>
              <w:rPr>
                <w:b/>
              </w:rPr>
            </w:pPr>
            <w:r>
              <w:rPr>
                <w:b/>
                <w:color w:val="00AF50"/>
              </w:rPr>
              <w:t>ff) Trastuzumab emtansin; metastatik meme kanserinde daha önce trastuzumab ve bir taksan tedavisi almıĢ ve hastalığı sonrasında progresyon göstermiĢ, HER-2/neu testi immunhistokimyasal olarak 3+ (+++) veya FISH/SI</w:t>
            </w:r>
            <w:r>
              <w:rPr>
                <w:b/>
                <w:color w:val="00AF50"/>
              </w:rPr>
              <w:t>SH/CISH pozitif olan hastalarda kurtarma tedavisinde tek ajan olarak progresyona kadar kullanılır. Progresyon sonrası tek ajan veya kombinasyon tedavisinin bir parçası olarak kullanılamaz. Daha önce herhangi bir sebeple pertuzumab kullanmıĢ hastalarda endi</w:t>
            </w:r>
            <w:r>
              <w:rPr>
                <w:b/>
                <w:color w:val="00AF50"/>
              </w:rPr>
              <w:t>ke değildir. Tıbbi onkoloji  uzman  hekiminin  yer  aldığı  ve bu</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888"/>
        </w:trPr>
        <w:tc>
          <w:tcPr>
            <w:tcW w:w="4366" w:type="dxa"/>
          </w:tcPr>
          <w:p w:rsidR="006033FD" w:rsidRDefault="006033FD"/>
        </w:tc>
        <w:tc>
          <w:tcPr>
            <w:tcW w:w="4923" w:type="dxa"/>
          </w:tcPr>
          <w:p w:rsidR="006033FD" w:rsidRDefault="00E21E01">
            <w:pPr>
              <w:pStyle w:val="TableParagraph"/>
              <w:ind w:right="99"/>
              <w:rPr>
                <w:b/>
              </w:rPr>
            </w:pPr>
            <w:r>
              <w:rPr>
                <w:b/>
                <w:color w:val="00AF50"/>
              </w:rPr>
              <w:t>hususların belirtildiği sağlık kurulu raporuna dayanılarak tıbbi onkoloji uzman hekimlerince reçete edilir.</w:t>
            </w:r>
          </w:p>
        </w:tc>
      </w:tr>
      <w:tr w:rsidR="006033FD">
        <w:trPr>
          <w:trHeight w:hRule="exact" w:val="4376"/>
        </w:trPr>
        <w:tc>
          <w:tcPr>
            <w:tcW w:w="4366" w:type="dxa"/>
          </w:tcPr>
          <w:p w:rsidR="006033FD" w:rsidRDefault="00E21E01">
            <w:pPr>
              <w:pStyle w:val="TableParagraph"/>
              <w:tabs>
                <w:tab w:val="left" w:pos="1019"/>
                <w:tab w:val="left" w:pos="1396"/>
                <w:tab w:val="left" w:pos="2193"/>
                <w:tab w:val="left" w:pos="3442"/>
              </w:tabs>
              <w:spacing w:line="290" w:lineRule="exact"/>
              <w:ind w:right="99"/>
              <w:jc w:val="left"/>
              <w:rPr>
                <w:b/>
              </w:rPr>
            </w:pPr>
            <w:r>
              <w:rPr>
                <w:b/>
              </w:rPr>
              <w:t>4.2.28</w:t>
            </w:r>
            <w:r>
              <w:rPr>
                <w:b/>
              </w:rPr>
              <w:tab/>
              <w:t>-</w:t>
            </w:r>
            <w:r>
              <w:rPr>
                <w:b/>
              </w:rPr>
              <w:tab/>
              <w:t>Lipid</w:t>
            </w:r>
            <w:r>
              <w:rPr>
                <w:b/>
              </w:rPr>
              <w:tab/>
              <w:t>düĢürücü</w:t>
            </w:r>
            <w:r>
              <w:rPr>
                <w:b/>
              </w:rPr>
              <w:tab/>
            </w:r>
            <w:r>
              <w:rPr>
                <w:b/>
                <w:spacing w:val="-1"/>
              </w:rPr>
              <w:t xml:space="preserve">ilaçların </w:t>
            </w:r>
            <w:r>
              <w:rPr>
                <w:b/>
              </w:rPr>
              <w:t>kullanım</w:t>
            </w:r>
            <w:r>
              <w:rPr>
                <w:b/>
                <w:spacing w:val="-2"/>
              </w:rPr>
              <w:t xml:space="preserve"> </w:t>
            </w:r>
            <w:r>
              <w:rPr>
                <w:b/>
              </w:rPr>
              <w:t>ilkeleri</w:t>
            </w:r>
          </w:p>
          <w:p w:rsidR="006033FD" w:rsidRDefault="006033FD">
            <w:pPr>
              <w:pStyle w:val="TableParagraph"/>
              <w:ind w:left="0"/>
              <w:jc w:val="left"/>
              <w:rPr>
                <w:rFonts w:ascii="Times New Roman"/>
              </w:rPr>
            </w:pPr>
          </w:p>
          <w:p w:rsidR="006033FD" w:rsidRDefault="006033FD">
            <w:pPr>
              <w:pStyle w:val="TableParagraph"/>
              <w:spacing w:before="8"/>
              <w:ind w:left="0"/>
              <w:jc w:val="left"/>
              <w:rPr>
                <w:rFonts w:ascii="Times New Roman"/>
                <w:sz w:val="28"/>
              </w:rPr>
            </w:pPr>
          </w:p>
          <w:p w:rsidR="006033FD" w:rsidRDefault="00E21E01">
            <w:pPr>
              <w:pStyle w:val="TableParagraph"/>
              <w:ind w:right="337"/>
              <w:jc w:val="left"/>
              <w:rPr>
                <w:b/>
              </w:rPr>
            </w:pPr>
            <w:r>
              <w:rPr>
                <w:b/>
                <w:color w:val="00AF50"/>
              </w:rPr>
              <w:t>YE</w:t>
            </w:r>
            <w:r>
              <w:rPr>
                <w:b/>
                <w:color w:val="00AF50"/>
                <w:spacing w:val="1"/>
              </w:rPr>
              <w:t>N</w:t>
            </w:r>
            <w:r>
              <w:rPr>
                <w:b/>
                <w:color w:val="00AF50"/>
                <w:w w:val="44"/>
              </w:rPr>
              <w:t>Ġ</w:t>
            </w:r>
            <w:r>
              <w:rPr>
                <w:b/>
                <w:color w:val="00AF50"/>
                <w:spacing w:val="-2"/>
              </w:rPr>
              <w:t xml:space="preserve"> </w:t>
            </w:r>
            <w:r>
              <w:rPr>
                <w:b/>
                <w:color w:val="00AF50"/>
                <w:spacing w:val="-3"/>
              </w:rPr>
              <w:t>E</w:t>
            </w:r>
            <w:r>
              <w:rPr>
                <w:b/>
                <w:color w:val="00AF50"/>
              </w:rPr>
              <w:t>K</w:t>
            </w:r>
            <w:r>
              <w:rPr>
                <w:b/>
                <w:color w:val="00AF50"/>
              </w:rPr>
              <w:t>LE</w:t>
            </w:r>
            <w:r>
              <w:rPr>
                <w:b/>
                <w:color w:val="00AF50"/>
                <w:spacing w:val="-2"/>
              </w:rPr>
              <w:t>N</w:t>
            </w:r>
            <w:r>
              <w:rPr>
                <w:b/>
                <w:color w:val="00AF50"/>
                <w:w w:val="77"/>
              </w:rPr>
              <w:t>DĠ.</w:t>
            </w:r>
          </w:p>
        </w:tc>
        <w:tc>
          <w:tcPr>
            <w:tcW w:w="4923" w:type="dxa"/>
          </w:tcPr>
          <w:p w:rsidR="006033FD" w:rsidRDefault="00E21E01">
            <w:pPr>
              <w:pStyle w:val="TableParagraph"/>
              <w:spacing w:line="290" w:lineRule="exact"/>
              <w:ind w:right="100"/>
              <w:rPr>
                <w:b/>
              </w:rPr>
            </w:pPr>
            <w:r>
              <w:rPr>
                <w:b/>
              </w:rPr>
              <w:t>4.2.28 - Lipid düĢürücü ilaçların kullanım ilkeleri</w:t>
            </w:r>
          </w:p>
          <w:p w:rsidR="006033FD" w:rsidRDefault="006033FD">
            <w:pPr>
              <w:pStyle w:val="TableParagraph"/>
              <w:spacing w:before="1"/>
              <w:ind w:left="0"/>
              <w:jc w:val="left"/>
              <w:rPr>
                <w:rFonts w:ascii="Times New Roman"/>
                <w:sz w:val="23"/>
              </w:rPr>
            </w:pPr>
          </w:p>
          <w:p w:rsidR="006033FD" w:rsidRDefault="00E21E01">
            <w:pPr>
              <w:pStyle w:val="TableParagraph"/>
              <w:rPr>
                <w:b/>
              </w:rPr>
            </w:pPr>
            <w:r>
              <w:rPr>
                <w:b/>
                <w:color w:val="00AF50"/>
              </w:rPr>
              <w:t>4.2.28.E- PCSK9 inhibitörleri(evolocumab)</w:t>
            </w:r>
          </w:p>
          <w:p w:rsidR="006033FD" w:rsidRDefault="006033FD">
            <w:pPr>
              <w:pStyle w:val="TableParagraph"/>
              <w:spacing w:before="5"/>
              <w:ind w:left="0"/>
              <w:jc w:val="left"/>
              <w:rPr>
                <w:rFonts w:ascii="Times New Roman"/>
                <w:sz w:val="25"/>
              </w:rPr>
            </w:pPr>
          </w:p>
          <w:p w:rsidR="006033FD" w:rsidRDefault="00E21E01">
            <w:pPr>
              <w:pStyle w:val="TableParagraph"/>
              <w:ind w:right="98"/>
              <w:rPr>
                <w:b/>
              </w:rPr>
            </w:pPr>
            <w:r>
              <w:rPr>
                <w:b/>
                <w:color w:val="00AF50"/>
              </w:rPr>
              <w:t xml:space="preserve">(1) Homozigot ailesel hiperkolesterolemi hastalarında en az 6 ay boyunca statin ve ezetimiblerle tedavi edilmiĢ olmasına  rağmen LDL düzeyi 190 </w:t>
            </w:r>
            <w:r>
              <w:rPr>
                <w:b/>
                <w:color w:val="00AF50"/>
                <w:spacing w:val="-3"/>
              </w:rPr>
              <w:t xml:space="preserve">mg/dL’nin </w:t>
            </w:r>
            <w:r>
              <w:rPr>
                <w:b/>
                <w:color w:val="00AF50"/>
              </w:rPr>
              <w:t>üzerinde kalan hastalarda bu durumun belgelenmesi koĢuluyla ve kardiyoloji, iç hastalıkları, nöroloji ya da kalp ve damar cerrahisi uzman hekimlerinden biri tarafından düzenlenen uzman hekim raporuna istinaden tüm hekimlerce reçete</w:t>
            </w:r>
            <w:r>
              <w:rPr>
                <w:b/>
                <w:color w:val="00AF50"/>
                <w:spacing w:val="10"/>
              </w:rPr>
              <w:t xml:space="preserve"> </w:t>
            </w:r>
            <w:r>
              <w:rPr>
                <w:b/>
                <w:color w:val="00AF50"/>
                <w:spacing w:val="-3"/>
              </w:rPr>
              <w:t>edilebilir.</w:t>
            </w:r>
          </w:p>
        </w:tc>
      </w:tr>
      <w:tr w:rsidR="006033FD">
        <w:trPr>
          <w:trHeight w:hRule="exact" w:val="8706"/>
        </w:trPr>
        <w:tc>
          <w:tcPr>
            <w:tcW w:w="4366" w:type="dxa"/>
          </w:tcPr>
          <w:p w:rsidR="006033FD" w:rsidRDefault="00E21E01">
            <w:pPr>
              <w:pStyle w:val="TableParagraph"/>
              <w:spacing w:line="267" w:lineRule="exact"/>
              <w:ind w:left="153"/>
              <w:rPr>
                <w:b/>
              </w:rPr>
            </w:pPr>
            <w:r>
              <w:rPr>
                <w:b/>
              </w:rPr>
              <w:t>4</w:t>
            </w:r>
            <w:r>
              <w:rPr>
                <w:b/>
              </w:rPr>
              <w:t>.3 - Yurt dıĢından ilaç getirilmesi</w:t>
            </w:r>
          </w:p>
          <w:p w:rsidR="006033FD" w:rsidRDefault="00E21E01">
            <w:pPr>
              <w:pStyle w:val="TableParagraph"/>
              <w:tabs>
                <w:tab w:val="left" w:pos="1677"/>
                <w:tab w:val="left" w:pos="2159"/>
                <w:tab w:val="left" w:pos="3428"/>
                <w:tab w:val="left" w:pos="3589"/>
              </w:tabs>
              <w:spacing w:before="21" w:line="196" w:lineRule="auto"/>
              <w:ind w:right="98"/>
            </w:pPr>
            <w:r>
              <w:t>(8) Sağlık Bakanlığı izni ile yurt dışından temin edilerek tedavide kullanılan ilacın/ilaçların ülkemizde ruhsat alarak  satış izni alması durumunda; EK-4/A Listesine giriş talebinden itibaren, “Sosyal Güvenlik Kurumu İlaç Geri Ödeme Yönetmeliği”</w:t>
            </w:r>
            <w:r>
              <w:tab/>
            </w:r>
            <w:r>
              <w:tab/>
              <w:t>gereği</w:t>
            </w:r>
            <w:r>
              <w:tab/>
            </w:r>
            <w:r>
              <w:tab/>
            </w:r>
            <w:r>
              <w:t>talebin sonuçlandırılacağı maksimum süre içerisinde, SUT ve eki listelerde yer alan özel hükümler saklı kalmak kaydıyla, uzman hekim raporuna dayanılarak uzman hekimlerce en fazla birer aylık miktarlarda reçete edilmesi ve bu reçetelerin Sağlık Bakanlığınc</w:t>
            </w:r>
            <w:r>
              <w:t>a onaylanması koşuluyla, Sağlık Bakanlığınca ilaca verilen perakende satış fiyatı üzerinden standart kamu kurum iskontosu olarak oranı SUT’un 4.4.1 maddesinde tanımlı baz iskonto uygulandıktan sonra kademeli eczane iskontosu uygulanarak sözleşmeli eczanele</w:t>
            </w:r>
            <w:r>
              <w:t>rden şahıslara düzenlenecek faturalara</w:t>
            </w:r>
            <w:r>
              <w:tab/>
              <w:t>dayanılarak</w:t>
            </w:r>
            <w:r>
              <w:tab/>
              <w:t xml:space="preserve">ödemesi yapılacaktır. Ödemelerde, faturada yer alan her bir kutu ilaç için ödenecek tutar her hâlükârda Yurt Dışı İlaç Fiyat Listesi’nde (EK-4/C) kayıtlı fiyatın standart kamu kurum iskontosu olarak oranı </w:t>
            </w:r>
            <w:r>
              <w:t xml:space="preserve">SUT’un 4.4.1 maddesinde tanımlı baz iskonto uygulandıktan sonra bulunacak tutarından daha fazla olamaz. Bu ilaçların temin edilmesinde SUT’un 4.5.2(1) fıkrasında belirtilen 4 iş günlük süre aranmaz. Bu ilaçlardan EK-4/D Listesi kapsamında olanlardan hasta </w:t>
            </w:r>
            <w:r>
              <w:t>katılım payı</w:t>
            </w:r>
            <w:r>
              <w:rPr>
                <w:spacing w:val="-2"/>
              </w:rPr>
              <w:t xml:space="preserve"> </w:t>
            </w:r>
            <w:r>
              <w:t>alınmaz.</w:t>
            </w:r>
          </w:p>
        </w:tc>
        <w:tc>
          <w:tcPr>
            <w:tcW w:w="4923" w:type="dxa"/>
          </w:tcPr>
          <w:p w:rsidR="006033FD" w:rsidRDefault="00E21E01">
            <w:pPr>
              <w:pStyle w:val="TableParagraph"/>
              <w:spacing w:line="267" w:lineRule="exact"/>
              <w:rPr>
                <w:b/>
              </w:rPr>
            </w:pPr>
            <w:r>
              <w:rPr>
                <w:b/>
              </w:rPr>
              <w:t>4.3 - Yurt dıĢından ilaç getirilmesi</w:t>
            </w:r>
          </w:p>
          <w:p w:rsidR="006033FD" w:rsidRDefault="00E21E01">
            <w:pPr>
              <w:pStyle w:val="TableParagraph"/>
              <w:spacing w:before="24" w:line="240" w:lineRule="exact"/>
              <w:ind w:right="101"/>
            </w:pPr>
            <w:r>
              <w:t xml:space="preserve">(8) Sağlık Bakanlığı izni ile yurt dışından temin edilerek tedavide kullanılan ilacın/ilaçların ülkemizde ruhsat alarak satış izni alması durumunda; EK-4/A Listesine giriş talebinden itibaren,   </w:t>
            </w:r>
            <w:r>
              <w:rPr>
                <w:strike/>
                <w:color w:val="FF0000"/>
              </w:rPr>
              <w:t>“S</w:t>
            </w:r>
            <w:r>
              <w:rPr>
                <w:strike/>
                <w:color w:val="FF0000"/>
              </w:rPr>
              <w:t>osyal   Güvenlik   Kurumu   İlaç  Geri</w:t>
            </w:r>
          </w:p>
          <w:p w:rsidR="006033FD" w:rsidRDefault="00E21E01">
            <w:pPr>
              <w:pStyle w:val="TableParagraph"/>
              <w:spacing w:line="240" w:lineRule="exact"/>
              <w:ind w:right="99"/>
            </w:pPr>
            <w:r>
              <w:rPr>
                <w:rFonts w:ascii="Times New Roman" w:hAnsi="Times New Roman"/>
                <w:strike/>
                <w:color w:val="FF0000"/>
                <w:spacing w:val="-56"/>
              </w:rPr>
              <w:t xml:space="preserve"> </w:t>
            </w:r>
            <w:r>
              <w:rPr>
                <w:strike/>
                <w:color w:val="FF0000"/>
              </w:rPr>
              <w:t xml:space="preserve">Ödeme Yönetmeliği” gereği </w:t>
            </w:r>
            <w:r>
              <w:t xml:space="preserve">talebin sonuçlandırılacağı maksimum süre içerisinde, SUT ve eki listelerde yer alan özel hükümler saklı kalmak kaydıyla, uzman hekim raporuna </w:t>
            </w:r>
            <w:r>
              <w:rPr>
                <w:b/>
                <w:color w:val="00AF50"/>
              </w:rPr>
              <w:t xml:space="preserve">ve Sağlık Bakanlığınca verilecek kullanım onayına dayanılarak söz konusu kullanım onayında belirtilen süre boyunca </w:t>
            </w:r>
            <w:r>
              <w:rPr>
                <w:strike/>
                <w:color w:val="FF0000"/>
              </w:rPr>
              <w:t xml:space="preserve">dayanılarak </w:t>
            </w:r>
            <w:r>
              <w:t xml:space="preserve">uzman hekimlerce en fazla birer aylık miktarlarda  reçete  edilmesi  </w:t>
            </w:r>
            <w:r>
              <w:rPr>
                <w:strike/>
                <w:color w:val="FF0000"/>
              </w:rPr>
              <w:t xml:space="preserve">ve  bu  </w:t>
            </w:r>
            <w:r>
              <w:rPr>
                <w:strike/>
                <w:color w:val="FF0000"/>
                <w:spacing w:val="45"/>
              </w:rPr>
              <w:t xml:space="preserve"> </w:t>
            </w:r>
            <w:r>
              <w:rPr>
                <w:strike/>
                <w:color w:val="FF0000"/>
              </w:rPr>
              <w:t>reçetelerin</w:t>
            </w:r>
          </w:p>
          <w:p w:rsidR="006033FD" w:rsidRDefault="00E21E01">
            <w:pPr>
              <w:pStyle w:val="TableParagraph"/>
              <w:spacing w:line="240" w:lineRule="exact"/>
              <w:ind w:right="99"/>
            </w:pPr>
            <w:r>
              <w:rPr>
                <w:rFonts w:ascii="Times New Roman" w:hAnsi="Times New Roman"/>
                <w:strike/>
                <w:color w:val="FF0000"/>
                <w:spacing w:val="-56"/>
              </w:rPr>
              <w:t xml:space="preserve"> </w:t>
            </w:r>
            <w:r>
              <w:rPr>
                <w:strike/>
                <w:color w:val="FF0000"/>
              </w:rPr>
              <w:t xml:space="preserve">Sağlık Bakanlığınca onaylanması </w:t>
            </w:r>
            <w:r>
              <w:t>koşulu</w:t>
            </w:r>
            <w:r>
              <w:t xml:space="preserve">yla, Sağlık Bakanlığınca ilaca verilen perakende satış fiyatı üzerinden </w:t>
            </w:r>
            <w:r>
              <w:rPr>
                <w:strike/>
                <w:color w:val="FF0000"/>
              </w:rPr>
              <w:t xml:space="preserve">standart kamu kurum </w:t>
            </w:r>
            <w:r>
              <w:rPr>
                <w:strike/>
                <w:color w:val="FF0000"/>
                <w:spacing w:val="8"/>
              </w:rPr>
              <w:t xml:space="preserve"> </w:t>
            </w:r>
            <w:r>
              <w:rPr>
                <w:strike/>
                <w:color w:val="FF0000"/>
              </w:rPr>
              <w:t>iskontosu</w:t>
            </w:r>
          </w:p>
          <w:p w:rsidR="006033FD" w:rsidRDefault="00E21E01">
            <w:pPr>
              <w:pStyle w:val="TableParagraph"/>
              <w:spacing w:line="196" w:lineRule="auto"/>
              <w:ind w:right="98"/>
            </w:pPr>
            <w:r>
              <w:rPr>
                <w:rFonts w:ascii="Times New Roman" w:hAnsi="Times New Roman"/>
                <w:strike/>
                <w:color w:val="FF0000"/>
                <w:spacing w:val="-56"/>
              </w:rPr>
              <w:t xml:space="preserve"> </w:t>
            </w:r>
            <w:r>
              <w:rPr>
                <w:strike/>
                <w:color w:val="FF0000"/>
              </w:rPr>
              <w:t xml:space="preserve">olarak oranı </w:t>
            </w:r>
            <w:r>
              <w:t xml:space="preserve">SUT’un 4.4.1 maddesinde tanımlı </w:t>
            </w:r>
            <w:r>
              <w:rPr>
                <w:strike/>
                <w:color w:val="FF0000"/>
              </w:rPr>
              <w:t xml:space="preserve">baz iskonto </w:t>
            </w:r>
            <w:r>
              <w:rPr>
                <w:b/>
                <w:color w:val="00AF50"/>
              </w:rPr>
              <w:t xml:space="preserve">indirim oranları (firmalar tarafından verilen özel iskontolar dahil) </w:t>
            </w:r>
            <w:r>
              <w:t>uygulandıktan sonra kademe</w:t>
            </w:r>
            <w:r>
              <w:t xml:space="preserve">li eczane iskontosu uygulanarak sözleşmeli eczanelerden şahıslara düzenlenecek faturalara dayanılarak ödemesi yapılacaktır. Ödemelerde, faturada yer alan her bir kutu ilaç için ödenecek tutar her hâlükârda Yurt Dışı İlaç Fiyat Listesi’nde (EK-4/C) kayıtlı </w:t>
            </w:r>
            <w:r>
              <w:t>fiyatın standart kamu kurum iskontosu olarak oranı SUT’un 4.4.1 maddesinde tanımlı baz iskonto uygulandıktan sonra bulunacak tutarından daha fazla olamaz. Bu ilaçların temin edilmesinde SUT’un 4.5.2(1) fıkrasında  belirtilen 4 iş günlük süre aranmaz. Bu il</w:t>
            </w:r>
            <w:r>
              <w:t>açlardan EK-4/D Listesi kapsamında olanlardan hasta katılım payı alınmaz.</w:t>
            </w:r>
          </w:p>
        </w:tc>
      </w:tr>
    </w:tbl>
    <w:p w:rsidR="006033FD" w:rsidRDefault="006033FD">
      <w:pPr>
        <w:spacing w:line="196" w:lineRule="auto"/>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3853"/>
        </w:trPr>
        <w:tc>
          <w:tcPr>
            <w:tcW w:w="4366" w:type="dxa"/>
          </w:tcPr>
          <w:p w:rsidR="006033FD" w:rsidRDefault="00E21E01">
            <w:pPr>
              <w:pStyle w:val="TableParagraph"/>
              <w:spacing w:line="221" w:lineRule="exact"/>
              <w:rPr>
                <w:b/>
              </w:rPr>
            </w:pPr>
            <w:r>
              <w:rPr>
                <w:b/>
              </w:rPr>
              <w:lastRenderedPageBreak/>
              <w:t>4.4.1 – Uygulanacak indirim oranları</w:t>
            </w:r>
          </w:p>
          <w:p w:rsidR="006033FD" w:rsidRDefault="00E21E01">
            <w:pPr>
              <w:pStyle w:val="TableParagraph"/>
              <w:spacing w:before="19" w:line="240" w:lineRule="exact"/>
              <w:ind w:right="98"/>
            </w:pPr>
            <w:r>
              <w:t>(9) Piyasaya verilecek, mevcut EK-4/A Listesinde bulunmayan yeni moleküller ile tedaviye yenilik getirecek ürünlerin EK-4/A Listesine kabulü halinde, bu ürünler listeye girdiği tarihten itibaren 1 yıl süre ile ilave iskontolardan muaf tutulur. Molekülün il</w:t>
            </w:r>
            <w:r>
              <w:t>ave iskontodan muafiyeti açısından 1  yıllık süresi, tüm farmasötik formları için listeye ilk giren forma uygulanan süre bitiminde sona</w:t>
            </w:r>
            <w:r>
              <w:rPr>
                <w:spacing w:val="-5"/>
              </w:rPr>
              <w:t xml:space="preserve"> </w:t>
            </w:r>
            <w:r>
              <w:t>erer.</w:t>
            </w:r>
          </w:p>
        </w:tc>
        <w:tc>
          <w:tcPr>
            <w:tcW w:w="4923" w:type="dxa"/>
          </w:tcPr>
          <w:p w:rsidR="006033FD" w:rsidRDefault="00E21E01">
            <w:pPr>
              <w:pStyle w:val="TableParagraph"/>
              <w:spacing w:line="221" w:lineRule="exact"/>
              <w:rPr>
                <w:b/>
              </w:rPr>
            </w:pPr>
            <w:r>
              <w:rPr>
                <w:b/>
              </w:rPr>
              <w:t>4.4.1 – Uygulanacak indirim oranları</w:t>
            </w:r>
          </w:p>
          <w:p w:rsidR="006033FD" w:rsidRDefault="00E21E01">
            <w:pPr>
              <w:pStyle w:val="TableParagraph"/>
              <w:spacing w:before="16" w:line="196" w:lineRule="auto"/>
              <w:ind w:right="98"/>
            </w:pPr>
            <w:r>
              <w:t>(9) Piyasaya verilecek, mevcut EK-4/A Listesinde bulunmayan yeni moleküller i</w:t>
            </w:r>
            <w:r>
              <w:t xml:space="preserve">le tedaviye yenilik getirecek ürünlerin EK-4/A Listesine kabulü halinde, bu ürünler listeye girdiği tarihten itibaren 1 yıl süre ile ilave iskontolardan muaf tutulur. </w:t>
            </w:r>
            <w:r>
              <w:rPr>
                <w:b/>
                <w:color w:val="00AF50"/>
              </w:rPr>
              <w:t xml:space="preserve">Bu süre; SUT’un “4.3 - </w:t>
            </w:r>
            <w:r>
              <w:rPr>
                <w:b/>
                <w:color w:val="00AF50"/>
                <w:spacing w:val="-6"/>
              </w:rPr>
              <w:t xml:space="preserve">Yurt </w:t>
            </w:r>
            <w:r>
              <w:rPr>
                <w:b/>
                <w:color w:val="00AF50"/>
              </w:rPr>
              <w:t>dıĢından ilaç getirilmesi” baĢlıklı maddesinin - sekizinci fı</w:t>
            </w:r>
            <w:r>
              <w:rPr>
                <w:b/>
                <w:color w:val="00AF50"/>
              </w:rPr>
              <w:t xml:space="preserve">krası kapsamında Kurumca ödemesi yapılan ilaçlar için EK-4/A Listesine giriĢ talebi tarihinden itibaren </w:t>
            </w:r>
            <w:r>
              <w:rPr>
                <w:b/>
                <w:color w:val="00AF50"/>
                <w:spacing w:val="-3"/>
              </w:rPr>
              <w:t>baĢlar</w:t>
            </w:r>
            <w:r>
              <w:rPr>
                <w:color w:val="211F1F"/>
                <w:spacing w:val="-3"/>
              </w:rPr>
              <w:t xml:space="preserve">. </w:t>
            </w:r>
            <w:r>
              <w:t>Molekülün ilave iskontodan muafiyeti açısından 1 yıllık süresi, tüm farmasötik formları için listeye ilk giren forma uygulanan süre bitiminde so</w:t>
            </w:r>
            <w:r>
              <w:t>na erer.</w:t>
            </w:r>
          </w:p>
        </w:tc>
      </w:tr>
      <w:tr w:rsidR="006033FD">
        <w:trPr>
          <w:trHeight w:hRule="exact" w:val="4983"/>
        </w:trPr>
        <w:tc>
          <w:tcPr>
            <w:tcW w:w="4366" w:type="dxa"/>
          </w:tcPr>
          <w:p w:rsidR="006033FD" w:rsidRDefault="00E21E01">
            <w:pPr>
              <w:pStyle w:val="TableParagraph"/>
              <w:spacing w:line="286" w:lineRule="exact"/>
              <w:rPr>
                <w:b/>
              </w:rPr>
            </w:pPr>
            <w:r>
              <w:rPr>
                <w:b/>
              </w:rPr>
              <w:t>4.4.2 - EĢdeğer ilaç uygulaması</w:t>
            </w:r>
          </w:p>
          <w:p w:rsidR="006033FD" w:rsidRDefault="00E21E01">
            <w:pPr>
              <w:pStyle w:val="TableParagraph"/>
              <w:ind w:right="101"/>
            </w:pPr>
            <w:r>
              <w:t>ç) Eşdeğer ilaçlara ödenecek bedellerin belirlenmesinde; Kurumca belirlenen gruplara göre;</w:t>
            </w:r>
          </w:p>
          <w:p w:rsidR="006033FD" w:rsidRDefault="00E21E01">
            <w:pPr>
              <w:pStyle w:val="TableParagraph"/>
              <w:ind w:right="100"/>
            </w:pPr>
            <w:r>
              <w:t>1-“Taban birim fiyat uygulaması” olan gruplarda; o gruptaki ilaçlar için ödenebilecek azami birim fiyat, taban birim</w:t>
            </w:r>
            <w:r>
              <w:rPr>
                <w:spacing w:val="-1"/>
              </w:rPr>
              <w:t xml:space="preserve"> </w:t>
            </w:r>
            <w:r>
              <w:t>fiyatt</w:t>
            </w:r>
            <w:r>
              <w:t>ır.</w:t>
            </w:r>
          </w:p>
          <w:p w:rsidR="006033FD" w:rsidRDefault="00E21E01">
            <w:pPr>
              <w:pStyle w:val="TableParagraph"/>
              <w:ind w:right="99"/>
            </w:pPr>
            <w:r>
              <w:t>2-“Bant aralığı uygulaması” olan gruplarda; taban birim fiyata %10 ilave edilerek o gruptaki ilaçlar için ödenebilecek azami birim fiyat bulunur.</w:t>
            </w:r>
          </w:p>
        </w:tc>
        <w:tc>
          <w:tcPr>
            <w:tcW w:w="4923" w:type="dxa"/>
          </w:tcPr>
          <w:p w:rsidR="006033FD" w:rsidRDefault="00E21E01">
            <w:pPr>
              <w:pStyle w:val="TableParagraph"/>
              <w:spacing w:line="286" w:lineRule="exact"/>
              <w:rPr>
                <w:b/>
              </w:rPr>
            </w:pPr>
            <w:r>
              <w:rPr>
                <w:b/>
              </w:rPr>
              <w:t>4.4.2 - EĢdeğer ilaç uygulaması</w:t>
            </w:r>
          </w:p>
          <w:p w:rsidR="006033FD" w:rsidRDefault="00E21E01">
            <w:pPr>
              <w:pStyle w:val="TableParagraph"/>
              <w:ind w:right="99"/>
            </w:pPr>
            <w:r>
              <w:rPr>
                <w:rFonts w:ascii="Times New Roman" w:hAnsi="Times New Roman"/>
                <w:strike/>
                <w:color w:val="FF0000"/>
                <w:spacing w:val="-56"/>
              </w:rPr>
              <w:t xml:space="preserve"> </w:t>
            </w:r>
            <w:r>
              <w:rPr>
                <w:strike/>
                <w:color w:val="FF0000"/>
              </w:rPr>
              <w:t>ç) Eşdeğer ilaçlara ödenecek bedellerin belirlenmesinde;   Kurumca   belirlenen</w:t>
            </w:r>
            <w:r>
              <w:rPr>
                <w:strike/>
                <w:color w:val="FF0000"/>
                <w:spacing w:val="57"/>
              </w:rPr>
              <w:t xml:space="preserve"> </w:t>
            </w:r>
            <w:r>
              <w:rPr>
                <w:strike/>
                <w:color w:val="FF0000"/>
              </w:rPr>
              <w:t>gruplara</w:t>
            </w:r>
          </w:p>
          <w:p w:rsidR="006033FD" w:rsidRDefault="00E21E01">
            <w:pPr>
              <w:pStyle w:val="TableParagraph"/>
              <w:spacing w:line="292" w:lineRule="exact"/>
            </w:pPr>
            <w:r>
              <w:rPr>
                <w:rFonts w:ascii="Times New Roman" w:hAnsi="Times New Roman"/>
                <w:strike/>
                <w:color w:val="FF0000"/>
                <w:spacing w:val="-56"/>
              </w:rPr>
              <w:t xml:space="preserve"> </w:t>
            </w:r>
            <w:r>
              <w:rPr>
                <w:strike/>
                <w:color w:val="FF0000"/>
              </w:rPr>
              <w:t>göre;</w:t>
            </w:r>
          </w:p>
          <w:p w:rsidR="006033FD" w:rsidRDefault="00E21E01">
            <w:pPr>
              <w:pStyle w:val="TableParagraph"/>
              <w:spacing w:line="292" w:lineRule="exact"/>
            </w:pPr>
            <w:r>
              <w:rPr>
                <w:strike/>
                <w:color w:val="FF0000"/>
              </w:rPr>
              <w:t>1-“Taban birim fiyat uygulaması” olan gruplarda;</w:t>
            </w:r>
          </w:p>
          <w:p w:rsidR="006033FD" w:rsidRDefault="00E21E01">
            <w:pPr>
              <w:pStyle w:val="TableParagraph"/>
            </w:pPr>
            <w:r>
              <w:rPr>
                <w:rFonts w:ascii="Times New Roman" w:hAnsi="Times New Roman"/>
                <w:strike/>
                <w:color w:val="FF0000"/>
                <w:spacing w:val="-56"/>
              </w:rPr>
              <w:t xml:space="preserve"> </w:t>
            </w:r>
            <w:r>
              <w:rPr>
                <w:strike/>
                <w:color w:val="FF0000"/>
              </w:rPr>
              <w:t>o gruptaki ilaçlar için ödenebilecek azami   birim</w:t>
            </w:r>
          </w:p>
          <w:p w:rsidR="006033FD" w:rsidRDefault="00E21E01">
            <w:pPr>
              <w:pStyle w:val="TableParagraph"/>
            </w:pPr>
            <w:r>
              <w:rPr>
                <w:rFonts w:ascii="Times New Roman" w:hAnsi="Times New Roman"/>
                <w:strike/>
                <w:color w:val="FF0000"/>
                <w:spacing w:val="-56"/>
              </w:rPr>
              <w:t xml:space="preserve"> </w:t>
            </w:r>
            <w:r>
              <w:rPr>
                <w:strike/>
                <w:color w:val="FF0000"/>
              </w:rPr>
              <w:t>fiyat, taban birim fiyattır.</w:t>
            </w:r>
          </w:p>
          <w:p w:rsidR="006033FD" w:rsidRDefault="00E21E01">
            <w:pPr>
              <w:pStyle w:val="TableParagraph"/>
              <w:ind w:right="100"/>
            </w:pPr>
            <w:r>
              <w:rPr>
                <w:strike/>
                <w:color w:val="FF0000"/>
              </w:rPr>
              <w:t>2-“Bant aralığı uygulaması” o</w:t>
            </w:r>
            <w:r>
              <w:rPr>
                <w:strike/>
                <w:color w:val="FF0000"/>
              </w:rPr>
              <w:t xml:space="preserve">lan gruplarda;  taban birim fiyata %10 ilave edilerek o  </w:t>
            </w:r>
            <w:r>
              <w:rPr>
                <w:strike/>
                <w:color w:val="FF0000"/>
                <w:spacing w:val="10"/>
              </w:rPr>
              <w:t xml:space="preserve"> </w:t>
            </w:r>
            <w:r>
              <w:rPr>
                <w:strike/>
                <w:color w:val="FF0000"/>
              </w:rPr>
              <w:t>gruptaki</w:t>
            </w:r>
          </w:p>
          <w:p w:rsidR="006033FD" w:rsidRDefault="00E21E01">
            <w:pPr>
              <w:pStyle w:val="TableParagraph"/>
              <w:ind w:right="101"/>
            </w:pPr>
            <w:r>
              <w:rPr>
                <w:rFonts w:ascii="Times New Roman" w:hAnsi="Times New Roman"/>
                <w:strike/>
                <w:color w:val="FF0000"/>
                <w:spacing w:val="-56"/>
              </w:rPr>
              <w:t xml:space="preserve"> </w:t>
            </w:r>
            <w:r>
              <w:rPr>
                <w:strike/>
                <w:color w:val="FF0000"/>
              </w:rPr>
              <w:t>ilaçlar için ödenebilecek azami birim fiyat bulunur.</w:t>
            </w:r>
          </w:p>
          <w:p w:rsidR="006033FD" w:rsidRDefault="00E21E01">
            <w:pPr>
              <w:pStyle w:val="TableParagraph"/>
              <w:ind w:right="99"/>
              <w:rPr>
                <w:b/>
              </w:rPr>
            </w:pPr>
            <w:r>
              <w:rPr>
                <w:b/>
                <w:color w:val="00AF50"/>
              </w:rPr>
              <w:t>ç) EĢdeğer ilaçlara ödenecek bedellerin belirlenmesinde; taban birim fiyata %10 ilave edilerek o gruptaki ilaçlar için ödenebilecek aza</w:t>
            </w:r>
            <w:r>
              <w:rPr>
                <w:b/>
                <w:color w:val="00AF50"/>
              </w:rPr>
              <w:t>mi birim fiyat bulunur</w:t>
            </w:r>
          </w:p>
        </w:tc>
      </w:tr>
      <w:tr w:rsidR="006033FD">
        <w:trPr>
          <w:trHeight w:hRule="exact" w:val="4986"/>
        </w:trPr>
        <w:tc>
          <w:tcPr>
            <w:tcW w:w="4366" w:type="dxa"/>
          </w:tcPr>
          <w:p w:rsidR="006033FD" w:rsidRDefault="00E21E01">
            <w:pPr>
              <w:pStyle w:val="TableParagraph"/>
              <w:ind w:right="125"/>
              <w:rPr>
                <w:b/>
              </w:rPr>
            </w:pPr>
            <w:r>
              <w:rPr>
                <w:b/>
              </w:rPr>
              <w:t>4.6</w:t>
            </w:r>
            <w:r>
              <w:rPr>
                <w:b/>
                <w:spacing w:val="-10"/>
              </w:rPr>
              <w:t xml:space="preserve"> </w:t>
            </w:r>
            <w:r>
              <w:rPr>
                <w:b/>
              </w:rPr>
              <w:t>-</w:t>
            </w:r>
            <w:r>
              <w:rPr>
                <w:b/>
                <w:spacing w:val="-11"/>
              </w:rPr>
              <w:t xml:space="preserve"> </w:t>
            </w:r>
            <w:r>
              <w:rPr>
                <w:b/>
              </w:rPr>
              <w:t>Kan</w:t>
            </w:r>
            <w:r>
              <w:rPr>
                <w:b/>
                <w:spacing w:val="-10"/>
              </w:rPr>
              <w:t xml:space="preserve"> </w:t>
            </w:r>
            <w:r>
              <w:rPr>
                <w:b/>
              </w:rPr>
              <w:t>ve</w:t>
            </w:r>
            <w:r>
              <w:rPr>
                <w:b/>
                <w:spacing w:val="-10"/>
              </w:rPr>
              <w:t xml:space="preserve"> </w:t>
            </w:r>
            <w:r>
              <w:rPr>
                <w:b/>
              </w:rPr>
              <w:t>kan</w:t>
            </w:r>
            <w:r>
              <w:rPr>
                <w:b/>
                <w:spacing w:val="-10"/>
              </w:rPr>
              <w:t xml:space="preserve"> </w:t>
            </w:r>
            <w:r>
              <w:rPr>
                <w:b/>
              </w:rPr>
              <w:t>bileĢenlerinin</w:t>
            </w:r>
            <w:r>
              <w:rPr>
                <w:b/>
                <w:spacing w:val="-10"/>
              </w:rPr>
              <w:t xml:space="preserve"> </w:t>
            </w:r>
            <w:r>
              <w:rPr>
                <w:b/>
              </w:rPr>
              <w:t>temini</w:t>
            </w:r>
            <w:r>
              <w:rPr>
                <w:b/>
                <w:spacing w:val="-11"/>
              </w:rPr>
              <w:t xml:space="preserve"> </w:t>
            </w:r>
            <w:r>
              <w:rPr>
                <w:b/>
              </w:rPr>
              <w:t>ve bedelinin</w:t>
            </w:r>
            <w:r>
              <w:rPr>
                <w:b/>
                <w:spacing w:val="-7"/>
              </w:rPr>
              <w:t xml:space="preserve"> </w:t>
            </w:r>
            <w:r>
              <w:rPr>
                <w:b/>
              </w:rPr>
              <w:t>ödenmesi</w:t>
            </w:r>
          </w:p>
          <w:p w:rsidR="006033FD" w:rsidRDefault="00E21E01">
            <w:pPr>
              <w:pStyle w:val="TableParagraph"/>
              <w:ind w:right="100"/>
            </w:pPr>
            <w:r>
              <w:t>(4) SUT eki EK-2/C Listesi kapsamında yer alan işlemler için sağlık kurum ve kuruluşlarında kullanılan kan ve kan bileşenleri, tanıya dayalı işlem puanlarına dâhil olduğundan Kuruma fatura edilemez.</w:t>
            </w:r>
          </w:p>
        </w:tc>
        <w:tc>
          <w:tcPr>
            <w:tcW w:w="4923" w:type="dxa"/>
          </w:tcPr>
          <w:p w:rsidR="006033FD" w:rsidRDefault="00E21E01">
            <w:pPr>
              <w:pStyle w:val="TableParagraph"/>
              <w:ind w:right="605"/>
              <w:jc w:val="left"/>
              <w:rPr>
                <w:b/>
              </w:rPr>
            </w:pPr>
            <w:r>
              <w:rPr>
                <w:b/>
              </w:rPr>
              <w:t>4.6 - Kan ve kan bileĢenlerinin temini ve bedelinin ödenm</w:t>
            </w:r>
            <w:r>
              <w:rPr>
                <w:b/>
              </w:rPr>
              <w:t>esi</w:t>
            </w:r>
          </w:p>
          <w:p w:rsidR="006033FD" w:rsidRDefault="00E21E01">
            <w:pPr>
              <w:pStyle w:val="TableParagraph"/>
              <w:ind w:right="97"/>
              <w:rPr>
                <w:b/>
              </w:rPr>
            </w:pPr>
            <w:r>
              <w:t xml:space="preserve">(4) SUT eki EK-2/C Listesi kapsamında yer alan işlemler için sağlık kurum ve kuruluşlarında kullanılan kan ve kan bileşenleri, tanıya dayalı işlem puanlarına dâhil olduğundan Kuruma fatura edilemez. </w:t>
            </w:r>
            <w:r>
              <w:rPr>
                <w:b/>
                <w:color w:val="00AF50"/>
                <w:spacing w:val="-3"/>
              </w:rPr>
              <w:t xml:space="preserve">“(Ancak </w:t>
            </w:r>
            <w:r>
              <w:rPr>
                <w:b/>
                <w:color w:val="00AF50"/>
              </w:rPr>
              <w:t>705371, 705430 ve 705440 kodlu kan bileĢenler</w:t>
            </w:r>
            <w:r>
              <w:rPr>
                <w:b/>
                <w:color w:val="00AF50"/>
              </w:rPr>
              <w:t>inin tanıya</w:t>
            </w:r>
            <w:r>
              <w:rPr>
                <w:b/>
                <w:color w:val="00AF50"/>
                <w:spacing w:val="-32"/>
              </w:rPr>
              <w:t xml:space="preserve"> </w:t>
            </w:r>
            <w:r>
              <w:rPr>
                <w:b/>
                <w:color w:val="00AF50"/>
              </w:rPr>
              <w:t xml:space="preserve">dayalı iĢlemler kapsamında kullanılması halinde </w:t>
            </w:r>
            <w:r>
              <w:rPr>
                <w:b/>
                <w:color w:val="00AF50"/>
                <w:spacing w:val="-3"/>
              </w:rPr>
              <w:t xml:space="preserve">bu </w:t>
            </w:r>
            <w:r>
              <w:rPr>
                <w:b/>
                <w:color w:val="00AF50"/>
              </w:rPr>
              <w:t xml:space="preserve">kan bileĢenlerinin puanının %30’u sağlık hizmeti sunucusunca ayrıca </w:t>
            </w:r>
            <w:r>
              <w:rPr>
                <w:b/>
                <w:color w:val="00AF50"/>
                <w:spacing w:val="-3"/>
              </w:rPr>
              <w:t xml:space="preserve">faturalandırılır. </w:t>
            </w:r>
            <w:r>
              <w:rPr>
                <w:b/>
                <w:color w:val="00AF50"/>
              </w:rPr>
              <w:t>Tüm kan bileĢenlerinin MEDULA sistemine kaydedilmesi</w:t>
            </w:r>
            <w:r>
              <w:rPr>
                <w:b/>
                <w:color w:val="00AF50"/>
                <w:spacing w:val="-20"/>
              </w:rPr>
              <w:t xml:space="preserve"> </w:t>
            </w:r>
            <w:r>
              <w:rPr>
                <w:b/>
                <w:color w:val="00AF50"/>
                <w:spacing w:val="-3"/>
              </w:rPr>
              <w:t>zorunludur.)</w:t>
            </w:r>
          </w:p>
        </w:tc>
      </w:tr>
    </w:tbl>
    <w:p w:rsidR="006033FD" w:rsidRDefault="006033FD">
      <w:pPr>
        <w:sectPr w:rsidR="006033FD">
          <w:pgSz w:w="11910" w:h="16840"/>
          <w:pgMar w:top="1400" w:right="1180" w:bottom="1140" w:left="1200" w:header="0" w:footer="942" w:gutter="0"/>
          <w:cols w:space="708"/>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6"/>
        <w:gridCol w:w="4923"/>
      </w:tblGrid>
      <w:tr w:rsidR="006033FD">
        <w:trPr>
          <w:trHeight w:hRule="exact" w:val="13766"/>
        </w:trPr>
        <w:tc>
          <w:tcPr>
            <w:tcW w:w="4366" w:type="dxa"/>
          </w:tcPr>
          <w:p w:rsidR="006033FD" w:rsidRDefault="00E21E01">
            <w:pPr>
              <w:pStyle w:val="TableParagraph"/>
              <w:ind w:right="100"/>
              <w:rPr>
                <w:b/>
              </w:rPr>
            </w:pPr>
            <w:r>
              <w:rPr>
                <w:b/>
              </w:rPr>
              <w:lastRenderedPageBreak/>
              <w:t>5.2.2 - Eczane faturalarının düzenlenmesi</w:t>
            </w:r>
          </w:p>
          <w:p w:rsidR="006033FD" w:rsidRDefault="00E21E01">
            <w:pPr>
              <w:pStyle w:val="TableParagraph"/>
              <w:spacing w:line="290" w:lineRule="exact"/>
            </w:pPr>
            <w:r>
              <w:t>(3) Manuel düzenlenecek faturalar;</w:t>
            </w:r>
          </w:p>
          <w:p w:rsidR="006033FD" w:rsidRDefault="00E21E01">
            <w:pPr>
              <w:pStyle w:val="TableParagraph"/>
              <w:numPr>
                <w:ilvl w:val="0"/>
                <w:numId w:val="8"/>
              </w:numPr>
              <w:tabs>
                <w:tab w:val="left" w:pos="346"/>
              </w:tabs>
              <w:ind w:right="99" w:firstLine="0"/>
              <w:jc w:val="both"/>
            </w:pPr>
            <w:r>
              <w:t>Yabancı ülkelerle yapılan sosyal güvenlik sözleşmeleri kapsamında Kurum sağlık yardımlarından yararlandırılan ve Sosyal Güvenlik İl Müdürlüklerince düzenlenmiş ve onaylanmış Sosyal Güvenlik Sözleşmesine Göre Sağlık Yardım Belgesi (aslı veya fotokopisi) ile</w:t>
            </w:r>
            <w:r>
              <w:t xml:space="preserve"> müracaat eden kişilerin reçetelerine ait faturalar ülke bazında olmak</w:t>
            </w:r>
            <w:r>
              <w:rPr>
                <w:spacing w:val="-1"/>
              </w:rPr>
              <w:t xml:space="preserve"> </w:t>
            </w:r>
            <w:r>
              <w:t>üzere,</w:t>
            </w:r>
          </w:p>
          <w:p w:rsidR="006033FD" w:rsidRDefault="00E21E01">
            <w:pPr>
              <w:pStyle w:val="TableParagraph"/>
              <w:numPr>
                <w:ilvl w:val="0"/>
                <w:numId w:val="8"/>
              </w:numPr>
              <w:tabs>
                <w:tab w:val="left" w:pos="442"/>
              </w:tabs>
              <w:ind w:right="100" w:firstLine="0"/>
              <w:jc w:val="both"/>
            </w:pPr>
            <w:r>
              <w:t>Kurum bilgi işlem sisteminden hasta takip numarası/provizyon alınamamasına rağmen sağlık yardımları yeterli prim ödeme gün sayısı olmaksızın ve/veya prim borcu olup olmadığına ba</w:t>
            </w:r>
            <w:r>
              <w:t>kılmaksızın Kurumca karşılanacak</w:t>
            </w:r>
            <w:r>
              <w:rPr>
                <w:spacing w:val="-2"/>
              </w:rPr>
              <w:t xml:space="preserve"> </w:t>
            </w:r>
            <w:r>
              <w:t>olan;</w:t>
            </w:r>
          </w:p>
          <w:p w:rsidR="006033FD" w:rsidRDefault="00E21E01">
            <w:pPr>
              <w:pStyle w:val="TableParagraph"/>
              <w:numPr>
                <w:ilvl w:val="1"/>
                <w:numId w:val="8"/>
              </w:numPr>
              <w:tabs>
                <w:tab w:val="left" w:pos="1097"/>
              </w:tabs>
              <w:ind w:right="100" w:firstLine="708"/>
              <w:jc w:val="both"/>
            </w:pPr>
            <w:r>
              <w:t>İş kazasına uğrayan kişilere ait faturalar her hasta için ayrı (sadece iş kazası nedeniyle sunulan sağlık hizmeti bedelleri karşılanır) olmak üzere</w:t>
            </w:r>
            <w:r>
              <w:rPr>
                <w:spacing w:val="-1"/>
              </w:rPr>
              <w:t xml:space="preserve"> </w:t>
            </w:r>
            <w:r>
              <w:t>manuel,</w:t>
            </w:r>
          </w:p>
          <w:p w:rsidR="006033FD" w:rsidRDefault="00E21E01">
            <w:pPr>
              <w:pStyle w:val="TableParagraph"/>
              <w:numPr>
                <w:ilvl w:val="1"/>
                <w:numId w:val="8"/>
              </w:numPr>
              <w:tabs>
                <w:tab w:val="left" w:pos="1157"/>
                <w:tab w:val="left" w:pos="3561"/>
              </w:tabs>
              <w:ind w:right="99" w:firstLine="708"/>
              <w:jc w:val="both"/>
            </w:pPr>
            <w:r>
              <w:t>“Özürlülük</w:t>
            </w:r>
            <w:r>
              <w:tab/>
            </w:r>
            <w:r>
              <w:rPr>
                <w:spacing w:val="-1"/>
              </w:rPr>
              <w:t xml:space="preserve">Ölçütü, </w:t>
            </w:r>
            <w:r>
              <w:t>Sınıflandırması ve Özürlülere Verilecek Sa</w:t>
            </w:r>
            <w:r>
              <w:t>ğlık Kurulu Raporları Hakkında Yönetmelik” kapsamında, yetkilendirilmiş özürlü sağlık kurulu raporu vermeye yetkili sağlık kuruluşlarınca, ağır özürlü olduğu özürlü sağlık kurulu raporu ile belgelendirilen tıbben başkasının bakımına muhtaç kişilere ait fat</w:t>
            </w:r>
            <w:r>
              <w:t>uralar her hasta için ayrı olmak üzere</w:t>
            </w:r>
            <w:r>
              <w:rPr>
                <w:spacing w:val="-1"/>
              </w:rPr>
              <w:t xml:space="preserve"> </w:t>
            </w:r>
            <w:r>
              <w:t>manuel,</w:t>
            </w:r>
          </w:p>
        </w:tc>
        <w:tc>
          <w:tcPr>
            <w:tcW w:w="4923" w:type="dxa"/>
          </w:tcPr>
          <w:p w:rsidR="006033FD" w:rsidRDefault="00E21E01">
            <w:pPr>
              <w:pStyle w:val="TableParagraph"/>
              <w:spacing w:line="288" w:lineRule="exact"/>
              <w:rPr>
                <w:b/>
              </w:rPr>
            </w:pPr>
            <w:r>
              <w:rPr>
                <w:b/>
              </w:rPr>
              <w:t>5.2.2 - Eczane faturalarının düzenlenmesi</w:t>
            </w:r>
          </w:p>
          <w:p w:rsidR="006033FD" w:rsidRDefault="00E21E01">
            <w:pPr>
              <w:pStyle w:val="TableParagraph"/>
              <w:spacing w:line="292" w:lineRule="exact"/>
            </w:pPr>
            <w:r>
              <w:t>(3) Manuel düzenlenecek faturalar;</w:t>
            </w:r>
          </w:p>
          <w:p w:rsidR="006033FD" w:rsidRDefault="00E21E01">
            <w:pPr>
              <w:pStyle w:val="TableParagraph"/>
              <w:numPr>
                <w:ilvl w:val="0"/>
                <w:numId w:val="7"/>
              </w:numPr>
              <w:tabs>
                <w:tab w:val="left" w:pos="456"/>
              </w:tabs>
              <w:ind w:right="99" w:firstLine="0"/>
              <w:jc w:val="both"/>
            </w:pPr>
            <w:r>
              <w:t>Yabancı ülkelerle yapılan sosyal güvenlik sözleşmeleri kapsamında Kurum sağlık yardımlarından yararlandırılan ve Sosyal  Güvenlik İl</w:t>
            </w:r>
            <w:r>
              <w:t xml:space="preserve"> Müdürlüklerince düzenlenmiş ve onaylanmış Sosyal Güvenlik Sözleşmesine Göre Sağlık Yardım Belgesi (aslı veya fotokopisi) ile müracaat eden kişilerin reçetelerine ait faturalar ülke bazında olmak</w:t>
            </w:r>
            <w:r>
              <w:rPr>
                <w:spacing w:val="-5"/>
              </w:rPr>
              <w:t xml:space="preserve"> </w:t>
            </w:r>
            <w:r>
              <w:t>üzere,</w:t>
            </w:r>
          </w:p>
          <w:p w:rsidR="006033FD" w:rsidRDefault="00E21E01">
            <w:pPr>
              <w:pStyle w:val="TableParagraph"/>
              <w:numPr>
                <w:ilvl w:val="0"/>
                <w:numId w:val="7"/>
              </w:numPr>
              <w:tabs>
                <w:tab w:val="left" w:pos="432"/>
              </w:tabs>
              <w:ind w:right="100" w:firstLine="0"/>
              <w:jc w:val="both"/>
            </w:pPr>
            <w:r>
              <w:t>Kurum bilgi işlem sisteminden hasta takip numarası/provizyon alınamamasına rağmen sağlık yardımları yeterli prim ödeme gün sayısı olmaksızın ve/veya prim borcu olup olmadığına bakılmaksızın Kurumca karşılanacak</w:t>
            </w:r>
            <w:r>
              <w:rPr>
                <w:spacing w:val="-4"/>
              </w:rPr>
              <w:t xml:space="preserve"> </w:t>
            </w:r>
            <w:r>
              <w:t>olan;</w:t>
            </w:r>
          </w:p>
          <w:p w:rsidR="006033FD" w:rsidRDefault="00E21E01">
            <w:pPr>
              <w:pStyle w:val="TableParagraph"/>
              <w:numPr>
                <w:ilvl w:val="1"/>
                <w:numId w:val="7"/>
              </w:numPr>
              <w:tabs>
                <w:tab w:val="left" w:pos="824"/>
              </w:tabs>
              <w:ind w:right="100" w:hanging="360"/>
              <w:jc w:val="both"/>
            </w:pPr>
            <w:r>
              <w:t>İş kazasına uğrayan kişilere ait fatura</w:t>
            </w:r>
            <w:r>
              <w:t>lar her hasta için ayrı (sadece iş kazası nedeniyle sunulan sağlık hizmeti  bedelleri karşılanır) olmak üzere</w:t>
            </w:r>
            <w:r>
              <w:rPr>
                <w:spacing w:val="-1"/>
              </w:rPr>
              <w:t xml:space="preserve"> </w:t>
            </w:r>
            <w:r>
              <w:t>manuel,</w:t>
            </w:r>
          </w:p>
          <w:p w:rsidR="006033FD" w:rsidRDefault="00E21E01">
            <w:pPr>
              <w:pStyle w:val="TableParagraph"/>
              <w:numPr>
                <w:ilvl w:val="1"/>
                <w:numId w:val="7"/>
              </w:numPr>
              <w:tabs>
                <w:tab w:val="left" w:pos="1158"/>
                <w:tab w:val="left" w:pos="1720"/>
                <w:tab w:val="left" w:pos="3599"/>
              </w:tabs>
              <w:ind w:left="103" w:right="99" w:firstLine="708"/>
              <w:jc w:val="both"/>
            </w:pPr>
            <w:r>
              <w:t>“Özürlülük Ölçütü, Sınıflandırması ve Özürlülere Verilecek Sağlık Kurulu Raporları Hakkında</w:t>
            </w:r>
            <w:r>
              <w:tab/>
              <w:t>Yönetmelik”</w:t>
            </w:r>
            <w:r>
              <w:tab/>
            </w:r>
            <w:r>
              <w:rPr>
                <w:spacing w:val="-1"/>
              </w:rPr>
              <w:t xml:space="preserve">kapsamında, </w:t>
            </w:r>
            <w:r>
              <w:t xml:space="preserve">yetkilendirilmiş </w:t>
            </w:r>
            <w:r>
              <w:rPr>
                <w:strike/>
                <w:color w:val="FF0000"/>
              </w:rPr>
              <w:t>özürl</w:t>
            </w:r>
            <w:r>
              <w:rPr>
                <w:strike/>
                <w:color w:val="FF0000"/>
              </w:rPr>
              <w:t xml:space="preserve">ü </w:t>
            </w:r>
            <w:r>
              <w:rPr>
                <w:b/>
                <w:color w:val="00AF50"/>
              </w:rPr>
              <w:t xml:space="preserve">engelli </w:t>
            </w:r>
            <w:r>
              <w:t>sağlık kurulu raporu vermeye yetkili sağlık kuruluşlarınca,</w:t>
            </w:r>
            <w:r>
              <w:rPr>
                <w:spacing w:val="54"/>
              </w:rPr>
              <w:t xml:space="preserve"> </w:t>
            </w:r>
            <w:r>
              <w:t>ağır</w:t>
            </w:r>
          </w:p>
          <w:p w:rsidR="006033FD" w:rsidRDefault="00E21E01">
            <w:pPr>
              <w:pStyle w:val="TableParagraph"/>
              <w:ind w:right="98"/>
            </w:pPr>
            <w:r>
              <w:rPr>
                <w:rFonts w:ascii="Times New Roman" w:hAnsi="Times New Roman"/>
                <w:strike/>
                <w:color w:val="FF0000"/>
                <w:spacing w:val="-56"/>
              </w:rPr>
              <w:t xml:space="preserve"> </w:t>
            </w:r>
            <w:r>
              <w:rPr>
                <w:strike/>
                <w:color w:val="FF0000"/>
              </w:rPr>
              <w:t xml:space="preserve">özürlü </w:t>
            </w:r>
            <w:r>
              <w:rPr>
                <w:b/>
                <w:color w:val="00AF50"/>
              </w:rPr>
              <w:t xml:space="preserve">engelli </w:t>
            </w:r>
            <w:r>
              <w:t xml:space="preserve">olduğu </w:t>
            </w:r>
            <w:r>
              <w:rPr>
                <w:strike/>
                <w:color w:val="FF0000"/>
              </w:rPr>
              <w:t xml:space="preserve">özürlü </w:t>
            </w:r>
            <w:r>
              <w:rPr>
                <w:b/>
                <w:color w:val="00AF50"/>
              </w:rPr>
              <w:t xml:space="preserve">engelli </w:t>
            </w:r>
            <w:r>
              <w:t>sağlık kurulu raporu ile belgelendirilen tıbben başkasının bakımına muhtaç kişilere ait faturalar her hasta için ayrı olmak üzere manuel,</w:t>
            </w:r>
          </w:p>
        </w:tc>
      </w:tr>
    </w:tbl>
    <w:p w:rsidR="006033FD" w:rsidRDefault="006033FD">
      <w:pPr>
        <w:sectPr w:rsidR="006033FD">
          <w:footerReference w:type="default" r:id="rId8"/>
          <w:pgSz w:w="11910" w:h="16840"/>
          <w:pgMar w:top="1400" w:right="1180" w:bottom="1140" w:left="1200" w:header="0" w:footer="942" w:gutter="0"/>
          <w:cols w:space="708"/>
        </w:sectPr>
      </w:pPr>
    </w:p>
    <w:p w:rsidR="006033FD" w:rsidRDefault="006033FD">
      <w:pPr>
        <w:pStyle w:val="Heading1"/>
        <w:ind w:right="20"/>
      </w:pPr>
      <w:r w:rsidRPr="006033FD">
        <w:lastRenderedPageBreak/>
        <w:pict>
          <v:group id="_x0000_s2197" style="position:absolute;left:0;text-align:left;margin-left:64.95pt;margin-top:70.55pt;width:465.5pt;height:689.8pt;z-index:-20608;mso-position-horizontal-relative:page;mso-position-vertical-relative:page" coordorigin="1299,1411" coordsize="9310,13796">
            <v:line id="_x0000_s2215" style="position:absolute" from="1313,1421" to="10593,1421" strokeweight=".48pt"/>
            <v:line id="_x0000_s2214" style="position:absolute" from="1313,2309" to="5670,2309" strokeweight=".48pt"/>
            <v:line id="_x0000_s2213" style="position:absolute" from="5679,2309" to="10593,2309" strokeweight=".48pt"/>
            <v:line id="_x0000_s2212" style="position:absolute" from="5675,2304" to="5675,10811" strokeweight=".48pt"/>
            <v:line id="_x0000_s2211" style="position:absolute" from="1313,10806" to="5670,10806" strokeweight=".48pt"/>
            <v:line id="_x0000_s2210" style="position:absolute" from="5679,10806" to="10593,10806" strokeweight=".48pt"/>
            <v:line id="_x0000_s2209" style="position:absolute" from="1313,11401" to="5670,11401" strokeweight=".48pt"/>
            <v:line id="_x0000_s2208" style="position:absolute" from="5679,11401" to="10593,11401" strokeweight=".48pt"/>
            <v:line id="_x0000_s2207" style="position:absolute" from="1308,1416" to="1308,15197" strokeweight=".48pt"/>
            <v:line id="_x0000_s2206" style="position:absolute" from="1304,15202" to="1313,15202" strokeweight=".48pt"/>
            <v:line id="_x0000_s2205" style="position:absolute" from="1304,15202" to="1313,15202" strokeweight=".48pt"/>
            <v:line id="_x0000_s2204" style="position:absolute" from="1313,15202" to="5670,15202" strokeweight=".48pt"/>
            <v:line id="_x0000_s2203" style="position:absolute" from="5675,11397" to="5675,15197" strokeweight=".48pt"/>
            <v:line id="_x0000_s2202" style="position:absolute" from="5670,15202" to="5679,15202" strokeweight=".48pt"/>
            <v:line id="_x0000_s2201" style="position:absolute" from="5679,15202" to="10593,15202" strokeweight=".48pt"/>
            <v:line id="_x0000_s2200" style="position:absolute" from="10598,1416" to="10598,15197" strokeweight=".48pt"/>
            <v:line id="_x0000_s2199" style="position:absolute" from="10593,15202" to="10603,15202" strokeweight=".48pt"/>
            <v:line id="_x0000_s2198" style="position:absolute" from="10593,15202" to="10603,15202" strokeweight=".48pt"/>
            <w10:wrap anchorx="page" anchory="page"/>
          </v:group>
        </w:pict>
      </w:r>
      <w:r w:rsidR="00E21E01">
        <w:t>EK-4/G</w:t>
      </w:r>
      <w:r w:rsidR="00E21E01">
        <w:rPr>
          <w:spacing w:val="-13"/>
        </w:rPr>
        <w:t xml:space="preserve"> </w:t>
      </w:r>
      <w:r w:rsidR="00E21E01">
        <w:t>–</w:t>
      </w:r>
      <w:r w:rsidR="00E21E01">
        <w:rPr>
          <w:spacing w:val="-12"/>
        </w:rPr>
        <w:t xml:space="preserve"> </w:t>
      </w:r>
      <w:r w:rsidR="00E21E01">
        <w:t>Sadece</w:t>
      </w:r>
      <w:r w:rsidR="00E21E01">
        <w:rPr>
          <w:spacing w:val="-12"/>
        </w:rPr>
        <w:t xml:space="preserve"> </w:t>
      </w:r>
      <w:r w:rsidR="00E21E01">
        <w:t>Yatarak</w:t>
      </w:r>
      <w:r w:rsidR="00E21E01">
        <w:rPr>
          <w:spacing w:val="-13"/>
        </w:rPr>
        <w:t xml:space="preserve"> </w:t>
      </w:r>
      <w:r w:rsidR="00E21E01">
        <w:t>Tedavilerde</w:t>
      </w:r>
      <w:r w:rsidR="00E21E01">
        <w:rPr>
          <w:spacing w:val="-12"/>
        </w:rPr>
        <w:t xml:space="preserve"> </w:t>
      </w:r>
      <w:r w:rsidR="00E21E01">
        <w:t>Kullanımları</w:t>
      </w:r>
      <w:r w:rsidR="00E21E01">
        <w:rPr>
          <w:spacing w:val="-13"/>
        </w:rPr>
        <w:t xml:space="preserve"> </w:t>
      </w:r>
      <w:r w:rsidR="00E21E01">
        <w:t>Halinde</w:t>
      </w:r>
      <w:r w:rsidR="00E21E01">
        <w:rPr>
          <w:spacing w:val="-12"/>
        </w:rPr>
        <w:t xml:space="preserve"> </w:t>
      </w:r>
      <w:r w:rsidR="00E21E01">
        <w:t>Bedelleri</w:t>
      </w:r>
      <w:r w:rsidR="00E21E01">
        <w:rPr>
          <w:spacing w:val="-13"/>
        </w:rPr>
        <w:t xml:space="preserve"> </w:t>
      </w:r>
      <w:r w:rsidR="00E21E01">
        <w:t>Ödenecek</w:t>
      </w:r>
      <w:r w:rsidR="00E21E01">
        <w:rPr>
          <w:spacing w:val="-13"/>
        </w:rPr>
        <w:t xml:space="preserve"> </w:t>
      </w:r>
      <w:r w:rsidR="00E21E01">
        <w:t>Ġ</w:t>
      </w:r>
      <w:r w:rsidR="00E21E01">
        <w:t>laçlar Listesi</w:t>
      </w:r>
    </w:p>
    <w:p w:rsidR="006033FD" w:rsidRDefault="006033FD">
      <w:pPr>
        <w:pStyle w:val="GvdeMetni"/>
        <w:spacing w:before="8"/>
        <w:rPr>
          <w:b/>
          <w:sz w:val="19"/>
        </w:rPr>
      </w:pPr>
    </w:p>
    <w:p w:rsidR="006033FD" w:rsidRDefault="00E21E01">
      <w:pPr>
        <w:tabs>
          <w:tab w:val="left" w:pos="4602"/>
          <w:tab w:val="left" w:pos="6451"/>
          <w:tab w:val="left" w:pos="8152"/>
        </w:tabs>
        <w:spacing w:before="42"/>
        <w:ind w:left="4602" w:right="230" w:hanging="4367"/>
        <w:jc w:val="both"/>
        <w:rPr>
          <w:b/>
        </w:rPr>
      </w:pPr>
      <w:r>
        <w:rPr>
          <w:b/>
          <w:color w:val="00AF50"/>
        </w:rPr>
        <w:t>YE</w:t>
      </w:r>
      <w:r>
        <w:rPr>
          <w:b/>
          <w:color w:val="00AF50"/>
          <w:spacing w:val="1"/>
        </w:rPr>
        <w:t>N</w:t>
      </w:r>
      <w:r>
        <w:rPr>
          <w:b/>
          <w:color w:val="00AF50"/>
          <w:w w:val="44"/>
        </w:rPr>
        <w:t>Ġ</w:t>
      </w:r>
      <w:r>
        <w:rPr>
          <w:b/>
          <w:color w:val="00AF50"/>
          <w:spacing w:val="-2"/>
        </w:rPr>
        <w:t xml:space="preserve"> </w:t>
      </w:r>
      <w:r>
        <w:rPr>
          <w:b/>
          <w:color w:val="00AF50"/>
          <w:spacing w:val="-3"/>
        </w:rPr>
        <w:t>E</w:t>
      </w:r>
      <w:r>
        <w:rPr>
          <w:b/>
          <w:color w:val="00AF50"/>
        </w:rPr>
        <w:t>KLE</w:t>
      </w:r>
      <w:r>
        <w:rPr>
          <w:b/>
          <w:color w:val="00AF50"/>
          <w:spacing w:val="-2"/>
        </w:rPr>
        <w:t>N</w:t>
      </w:r>
      <w:r>
        <w:rPr>
          <w:b/>
          <w:color w:val="00AF50"/>
          <w:w w:val="77"/>
        </w:rPr>
        <w:t>DĠ.</w:t>
      </w:r>
      <w:r>
        <w:rPr>
          <w:b/>
          <w:color w:val="00AF50"/>
        </w:rPr>
        <w:tab/>
      </w:r>
      <w:r>
        <w:rPr>
          <w:b/>
          <w:color w:val="00AF50"/>
        </w:rPr>
        <w:t>59.</w:t>
      </w:r>
      <w:r>
        <w:rPr>
          <w:b/>
          <w:color w:val="00AF50"/>
        </w:rPr>
        <w:t xml:space="preserve">        </w:t>
      </w:r>
      <w:r>
        <w:rPr>
          <w:b/>
          <w:color w:val="00AF50"/>
          <w:spacing w:val="15"/>
        </w:rPr>
        <w:t xml:space="preserve"> </w:t>
      </w:r>
      <w:r>
        <w:rPr>
          <w:b/>
          <w:color w:val="00AF50"/>
          <w:spacing w:val="-1"/>
        </w:rPr>
        <w:t>Epi</w:t>
      </w:r>
      <w:r>
        <w:rPr>
          <w:b/>
          <w:color w:val="00AF50"/>
          <w:spacing w:val="-3"/>
        </w:rPr>
        <w:t>d</w:t>
      </w:r>
      <w:r>
        <w:rPr>
          <w:b/>
          <w:color w:val="00AF50"/>
        </w:rPr>
        <w:t>e</w:t>
      </w:r>
      <w:r>
        <w:rPr>
          <w:b/>
          <w:color w:val="00AF50"/>
          <w:spacing w:val="1"/>
        </w:rPr>
        <w:t>r</w:t>
      </w:r>
      <w:r>
        <w:rPr>
          <w:b/>
          <w:color w:val="00AF50"/>
          <w:spacing w:val="-4"/>
        </w:rPr>
        <w:t>m</w:t>
      </w:r>
      <w:r>
        <w:rPr>
          <w:b/>
          <w:color w:val="00AF50"/>
        </w:rPr>
        <w:t>al</w:t>
      </w:r>
      <w:r>
        <w:rPr>
          <w:b/>
          <w:color w:val="00AF50"/>
        </w:rPr>
        <w:t xml:space="preserve">        </w:t>
      </w:r>
      <w:r>
        <w:rPr>
          <w:b/>
          <w:color w:val="00AF50"/>
          <w:spacing w:val="13"/>
        </w:rPr>
        <w:t xml:space="preserve"> </w:t>
      </w:r>
      <w:r>
        <w:rPr>
          <w:b/>
          <w:color w:val="00AF50"/>
        </w:rPr>
        <w:t>bü</w:t>
      </w:r>
      <w:r>
        <w:rPr>
          <w:b/>
          <w:color w:val="00AF50"/>
          <w:spacing w:val="-2"/>
        </w:rPr>
        <w:t>y</w:t>
      </w:r>
      <w:r>
        <w:rPr>
          <w:b/>
          <w:color w:val="00AF50"/>
        </w:rPr>
        <w:t>üme</w:t>
      </w:r>
      <w:r>
        <w:rPr>
          <w:b/>
          <w:color w:val="00AF50"/>
        </w:rPr>
        <w:t xml:space="preserve">        </w:t>
      </w:r>
      <w:r>
        <w:rPr>
          <w:b/>
          <w:color w:val="00AF50"/>
          <w:spacing w:val="16"/>
        </w:rPr>
        <w:t xml:space="preserve"> </w:t>
      </w:r>
      <w:r>
        <w:rPr>
          <w:b/>
          <w:color w:val="00AF50"/>
        </w:rPr>
        <w:t>fa</w:t>
      </w:r>
      <w:r>
        <w:rPr>
          <w:b/>
          <w:color w:val="00AF50"/>
          <w:spacing w:val="-3"/>
        </w:rPr>
        <w:t>k</w:t>
      </w:r>
      <w:r>
        <w:rPr>
          <w:b/>
          <w:color w:val="00AF50"/>
          <w:spacing w:val="-2"/>
        </w:rPr>
        <w:t>t</w:t>
      </w:r>
      <w:r>
        <w:rPr>
          <w:b/>
          <w:color w:val="00AF50"/>
        </w:rPr>
        <w:t>ör</w:t>
      </w:r>
      <w:r>
        <w:rPr>
          <w:b/>
          <w:color w:val="00AF50"/>
          <w:spacing w:val="1"/>
        </w:rPr>
        <w:t>ü</w:t>
      </w:r>
      <w:r>
        <w:rPr>
          <w:b/>
          <w:color w:val="00AF50"/>
        </w:rPr>
        <w:t xml:space="preserve">; </w:t>
      </w:r>
      <w:r>
        <w:rPr>
          <w:b/>
          <w:color w:val="00AF50"/>
        </w:rPr>
        <w:t xml:space="preserve">Konvansiyonel yara tedavi prensiplerinin uygulanmasına rağmen yarada iyileĢmenin izlenmediği </w:t>
      </w:r>
      <w:r>
        <w:rPr>
          <w:b/>
          <w:color w:val="00AF50"/>
          <w:spacing w:val="-3"/>
        </w:rPr>
        <w:t xml:space="preserve">(Tedavi </w:t>
      </w:r>
      <w:r>
        <w:rPr>
          <w:b/>
          <w:color w:val="00AF50"/>
        </w:rPr>
        <w:t>süresi ve uygulanan tedavinin</w:t>
      </w:r>
      <w:r>
        <w:rPr>
          <w:b/>
          <w:color w:val="00AF50"/>
        </w:rPr>
        <w:tab/>
        <w:t>raporda</w:t>
      </w:r>
      <w:r>
        <w:rPr>
          <w:b/>
          <w:color w:val="00AF50"/>
        </w:rPr>
        <w:tab/>
        <w:t>belirtilmesi gerekmektedir.), gangrensiz, osteomiyeliti ve enfeksiyonu</w:t>
      </w:r>
      <w:r>
        <w:rPr>
          <w:b/>
          <w:color w:val="00AF50"/>
          <w:spacing w:val="-14"/>
        </w:rPr>
        <w:t xml:space="preserve"> </w:t>
      </w:r>
      <w:r>
        <w:rPr>
          <w:b/>
          <w:color w:val="00AF50"/>
        </w:rPr>
        <w:t>tedavi</w:t>
      </w:r>
      <w:r>
        <w:rPr>
          <w:b/>
          <w:color w:val="00AF50"/>
          <w:spacing w:val="-14"/>
        </w:rPr>
        <w:t xml:space="preserve"> </w:t>
      </w:r>
      <w:r>
        <w:rPr>
          <w:b/>
          <w:color w:val="00AF50"/>
        </w:rPr>
        <w:t>olmuĢ</w:t>
      </w:r>
      <w:r>
        <w:rPr>
          <w:b/>
          <w:color w:val="00AF50"/>
          <w:spacing w:val="-16"/>
        </w:rPr>
        <w:t xml:space="preserve"> </w:t>
      </w:r>
      <w:r>
        <w:rPr>
          <w:b/>
          <w:color w:val="00AF50"/>
        </w:rPr>
        <w:t>(osteomyelite</w:t>
      </w:r>
      <w:r>
        <w:rPr>
          <w:b/>
          <w:color w:val="00AF50"/>
          <w:spacing w:val="-21"/>
        </w:rPr>
        <w:t xml:space="preserve"> </w:t>
      </w:r>
      <w:r>
        <w:rPr>
          <w:b/>
          <w:color w:val="00AF50"/>
        </w:rPr>
        <w:t>bağlı ülserlerde osteomyelitin olmadığının/tedavi edildiğinin radyoloji ve ortopedi uzman hekimleri tarafından, yumuĢak doku enfeksiyonuna bağlı ülserlerde yumuĢak doku enfeksiyonunun kontrol altına alındığının enfeksiyon hastalıkları uzman hekimi tarafınd</w:t>
      </w:r>
      <w:r>
        <w:rPr>
          <w:b/>
          <w:color w:val="00AF50"/>
        </w:rPr>
        <w:t>an raporda belirtilmesi gerekmektedir.) açık diyabetik ayak ülserleri olan hastalarda, 3 üncü basamak sağlık kurumlarında genel cerrahi veya plastik cerrahi uzman hekimleri tarafından düzenlenen 4(dört) hafta süreli uzman hekim raporuna istinaden yine bu u</w:t>
      </w:r>
      <w:r>
        <w:rPr>
          <w:b/>
          <w:color w:val="00AF50"/>
        </w:rPr>
        <w:t xml:space="preserve">zman hekimler tarafından reçete edilebilir. 4 (dört) haftalık tedavi sonrasında tedavinin devamı gerekiyorsa, ilaca baĢlangıç kriterlerinin yer aldığı, en az bir genel cerrahi veya plastik cerrahi uzmanının bulunduğu sağlık </w:t>
      </w:r>
      <w:r>
        <w:rPr>
          <w:b/>
          <w:color w:val="00AF50"/>
          <w:spacing w:val="-3"/>
        </w:rPr>
        <w:t xml:space="preserve">kurulu </w:t>
      </w:r>
      <w:r>
        <w:rPr>
          <w:b/>
          <w:color w:val="00AF50"/>
        </w:rPr>
        <w:t>raporuna istinaden yine b</w:t>
      </w:r>
      <w:r>
        <w:rPr>
          <w:b/>
          <w:color w:val="00AF50"/>
        </w:rPr>
        <w:t xml:space="preserve">u uzmanlar tarafından reçete </w:t>
      </w:r>
      <w:r>
        <w:rPr>
          <w:b/>
          <w:color w:val="00AF50"/>
          <w:spacing w:val="-3"/>
        </w:rPr>
        <w:t xml:space="preserve">edilir. </w:t>
      </w:r>
      <w:r>
        <w:rPr>
          <w:b/>
          <w:color w:val="00AF50"/>
          <w:spacing w:val="-4"/>
        </w:rPr>
        <w:t xml:space="preserve">Toplam </w:t>
      </w:r>
      <w:r>
        <w:rPr>
          <w:b/>
          <w:color w:val="00AF50"/>
        </w:rPr>
        <w:t>tedavi süresi 12(on iki) haftayı</w:t>
      </w:r>
      <w:r>
        <w:rPr>
          <w:b/>
          <w:color w:val="00AF50"/>
          <w:spacing w:val="-14"/>
        </w:rPr>
        <w:t xml:space="preserve"> </w:t>
      </w:r>
      <w:r>
        <w:rPr>
          <w:b/>
          <w:color w:val="00AF50"/>
        </w:rPr>
        <w:t>geçemez.</w:t>
      </w:r>
    </w:p>
    <w:p w:rsidR="006033FD" w:rsidRDefault="006033FD">
      <w:pPr>
        <w:pStyle w:val="GvdeMetni"/>
        <w:spacing w:before="8"/>
        <w:rPr>
          <w:b/>
          <w:sz w:val="19"/>
        </w:rPr>
      </w:pPr>
    </w:p>
    <w:p w:rsidR="006033FD" w:rsidRDefault="006033FD">
      <w:pPr>
        <w:pStyle w:val="Heading1"/>
        <w:spacing w:before="42"/>
        <w:ind w:right="20"/>
      </w:pPr>
      <w:r w:rsidRPr="006033FD">
        <w:pict>
          <v:group id="_x0000_s2185" style="position:absolute;left:0;text-align:left;margin-left:70.8pt;margin-top:46.5pt;width:207.3pt;height:58.25pt;z-index:-20536;mso-position-horizontal-relative:page" coordorigin="1416,930" coordsize="4146,1165">
            <v:line id="_x0000_s2196" style="position:absolute" from="1426,940" to="1976,940" strokeweight=".48pt"/>
            <v:line id="_x0000_s2195" style="position:absolute" from="1985,940" to="4172,940" strokeweight=".48pt"/>
            <v:line id="_x0000_s2194" style="position:absolute" from="4182,940" to="5557,940" strokeweight=".48pt"/>
            <v:line id="_x0000_s2193" style="position:absolute" from="1421,935" to="1421,2090" strokeweight=".48pt"/>
            <v:line id="_x0000_s2192" style="position:absolute" from="1426,2085" to="1976,2085" strokeweight=".48pt"/>
            <v:line id="_x0000_s2191" style="position:absolute" from="1980,935" to="1980,2090" strokeweight=".48pt"/>
            <v:line id="_x0000_s2190" style="position:absolute" from="1985,2085" to="4172,2085" strokeweight=".48pt"/>
            <v:line id="_x0000_s2189" style="position:absolute" from="4177,935" to="4177,2090" strokeweight=".48pt"/>
            <v:line id="_x0000_s2188" style="position:absolute" from="4182,2085" to="5557,2085" strokeweight=".48pt"/>
            <v:shapetype id="_x0000_t202" coordsize="21600,21600" o:spt="202" path="m,l,21600r21600,l21600,xe">
              <v:stroke joinstyle="miter"/>
              <v:path gradientshapeok="t" o:connecttype="rect"/>
            </v:shapetype>
            <v:shape id="_x0000_s2187" type="#_x0000_t202" style="position:absolute;left:2088;top:1001;width:1522;height:221" filled="f" stroked="f">
              <v:textbox inset="0,0,0,0">
                <w:txbxContent>
                  <w:p w:rsidR="006033FD" w:rsidRDefault="00E21E01">
                    <w:pPr>
                      <w:spacing w:line="221" w:lineRule="exact"/>
                      <w:ind w:right="-18"/>
                    </w:pPr>
                    <w:r>
                      <w:t>Kalem İğne</w:t>
                    </w:r>
                    <w:r>
                      <w:rPr>
                        <w:spacing w:val="-3"/>
                      </w:rPr>
                      <w:t xml:space="preserve"> </w:t>
                    </w:r>
                    <w:r>
                      <w:t>Ucu</w:t>
                    </w:r>
                  </w:p>
                </w:txbxContent>
              </v:textbox>
            </v:shape>
            <v:shape id="_x0000_s2186" type="#_x0000_t202" style="position:absolute;left:4285;top:1001;width:804;height:221" filled="f" stroked="f">
              <v:textbox inset="0,0,0,0">
                <w:txbxContent>
                  <w:p w:rsidR="006033FD" w:rsidRDefault="00E21E01">
                    <w:pPr>
                      <w:spacing w:line="221" w:lineRule="exact"/>
                      <w:ind w:right="-18"/>
                    </w:pPr>
                    <w:r>
                      <w:t>0,255 TL</w:t>
                    </w:r>
                  </w:p>
                </w:txbxContent>
              </v:textbox>
            </v:shape>
            <w10:wrap anchorx="page"/>
          </v:group>
        </w:pict>
      </w:r>
      <w:r w:rsidRPr="006033FD">
        <w:pict>
          <v:group id="_x0000_s2174" style="position:absolute;left:0;text-align:left;margin-left:289.1pt;margin-top:46.5pt;width:219.35pt;height:58.25pt;z-index:-20512;mso-position-horizontal-relative:page" coordorigin="5782,930" coordsize="4387,1165">
            <v:line id="_x0000_s2184" style="position:absolute" from="5792,940" to="6417,940" strokeweight=".48pt"/>
            <v:line id="_x0000_s2183" style="position:absolute" from="6426,940" to="8699,940" strokeweight=".48pt"/>
            <v:line id="_x0000_s2182" style="position:absolute" from="8709,940" to="10159,940" strokeweight=".48pt"/>
            <v:line id="_x0000_s2181" style="position:absolute" from="5787,935" to="5787,2090" strokeweight=".48pt"/>
            <v:line id="_x0000_s2180" style="position:absolute" from="5792,2085" to="6417,2085" strokeweight=".48pt"/>
            <v:line id="_x0000_s2179" style="position:absolute" from="6421,935" to="6421,2090" strokeweight=".48pt"/>
            <v:line id="_x0000_s2178" style="position:absolute" from="6426,2085" to="8699,2085" strokeweight=".48pt"/>
            <v:line id="_x0000_s2177" style="position:absolute" from="8704,935" to="8704,2090" strokeweight=".48pt"/>
            <v:line id="_x0000_s2176" style="position:absolute" from="8709,2085" to="10159,2085" strokeweight=".48pt"/>
            <v:line id="_x0000_s2175" style="position:absolute" from="10164,935" to="10164,2090" strokeweight=".48pt"/>
            <w10:wrap anchorx="page"/>
          </v:group>
        </w:pict>
      </w:r>
      <w:r w:rsidRPr="006033FD">
        <w:pict>
          <v:shape id="_x0000_s2173" type="#_x0000_t202" style="position:absolute;left:0;text-align:left;margin-left:78.4pt;margin-top:60.6pt;width:13.05pt;height:38.8pt;z-index:1144;mso-position-horizontal-relative:page" filled="f" stroked="f">
            <v:textbox style="layout-flow:vertical;mso-layout-flow-alt:bottom-to-top" inset="0,0,0,0">
              <w:txbxContent>
                <w:p w:rsidR="006033FD" w:rsidRDefault="00E21E01">
                  <w:pPr>
                    <w:pStyle w:val="GvdeMetni"/>
                    <w:spacing w:line="254" w:lineRule="exact"/>
                    <w:ind w:left="20" w:right="-512"/>
                  </w:pPr>
                  <w:r>
                    <w:rPr>
                      <w:spacing w:val="-1"/>
                    </w:rPr>
                    <w:t>A</w:t>
                  </w:r>
                  <w:r>
                    <w:t>1</w:t>
                  </w:r>
                  <w:r>
                    <w:rPr>
                      <w:spacing w:val="-2"/>
                    </w:rPr>
                    <w:t>0</w:t>
                  </w:r>
                  <w:r>
                    <w:t>1</w:t>
                  </w:r>
                  <w:r>
                    <w:rPr>
                      <w:spacing w:val="-2"/>
                    </w:rPr>
                    <w:t>1</w:t>
                  </w:r>
                  <w:r>
                    <w:t>4</w:t>
                  </w:r>
                </w:p>
              </w:txbxContent>
            </v:textbox>
            <w10:wrap anchorx="page"/>
          </v:shape>
        </w:pict>
      </w:r>
      <w:r w:rsidR="00E21E01">
        <w:t>EK- 3/C-4 - Tıbbi Sarf Malzemeleri Listesi</w:t>
      </w:r>
    </w:p>
    <w:p w:rsidR="006033FD" w:rsidRDefault="006033FD">
      <w:pPr>
        <w:pStyle w:val="GvdeMetni"/>
        <w:spacing w:before="9"/>
        <w:rPr>
          <w:b/>
        </w:rPr>
      </w:pPr>
    </w:p>
    <w:tbl>
      <w:tblPr>
        <w:tblStyle w:val="TableNormal"/>
        <w:tblW w:w="0" w:type="auto"/>
        <w:tblInd w:w="4377" w:type="dxa"/>
        <w:tblBorders>
          <w:top w:val="nil"/>
          <w:left w:val="nil"/>
          <w:bottom w:val="nil"/>
          <w:right w:val="nil"/>
          <w:insideH w:val="nil"/>
          <w:insideV w:val="nil"/>
        </w:tblBorders>
        <w:tblLayout w:type="fixed"/>
        <w:tblLook w:val="01E0"/>
      </w:tblPr>
      <w:tblGrid>
        <w:gridCol w:w="226"/>
        <w:gridCol w:w="634"/>
        <w:gridCol w:w="2282"/>
        <w:gridCol w:w="1460"/>
      </w:tblGrid>
      <w:tr w:rsidR="006033FD">
        <w:trPr>
          <w:trHeight w:hRule="exact" w:val="303"/>
        </w:trPr>
        <w:tc>
          <w:tcPr>
            <w:tcW w:w="226" w:type="dxa"/>
          </w:tcPr>
          <w:p w:rsidR="006033FD" w:rsidRDefault="006033FD"/>
        </w:tc>
        <w:tc>
          <w:tcPr>
            <w:tcW w:w="634" w:type="dxa"/>
          </w:tcPr>
          <w:p w:rsidR="006033FD" w:rsidRDefault="006033FD"/>
        </w:tc>
        <w:tc>
          <w:tcPr>
            <w:tcW w:w="2282" w:type="dxa"/>
          </w:tcPr>
          <w:p w:rsidR="006033FD" w:rsidRDefault="006033FD"/>
        </w:tc>
        <w:tc>
          <w:tcPr>
            <w:tcW w:w="1460" w:type="dxa"/>
          </w:tcPr>
          <w:p w:rsidR="006033FD" w:rsidRDefault="006033FD"/>
        </w:tc>
      </w:tr>
      <w:tr w:rsidR="006033FD">
        <w:trPr>
          <w:trHeight w:hRule="exact" w:val="1145"/>
        </w:trPr>
        <w:tc>
          <w:tcPr>
            <w:tcW w:w="226" w:type="dxa"/>
            <w:tcBorders>
              <w:left w:val="single" w:sz="4" w:space="0" w:color="000000"/>
            </w:tcBorders>
          </w:tcPr>
          <w:p w:rsidR="006033FD" w:rsidRDefault="006033FD"/>
        </w:tc>
        <w:tc>
          <w:tcPr>
            <w:tcW w:w="634" w:type="dxa"/>
            <w:textDirection w:val="btLr"/>
          </w:tcPr>
          <w:p w:rsidR="006033FD" w:rsidRDefault="00E21E01">
            <w:pPr>
              <w:pStyle w:val="TableParagraph"/>
              <w:spacing w:before="108"/>
              <w:ind w:left="117"/>
              <w:jc w:val="left"/>
            </w:pPr>
            <w:r>
              <w:rPr>
                <w:spacing w:val="-1"/>
              </w:rPr>
              <w:t>A</w:t>
            </w:r>
            <w:r>
              <w:t>1</w:t>
            </w:r>
            <w:r>
              <w:rPr>
                <w:spacing w:val="-2"/>
              </w:rPr>
              <w:t>0</w:t>
            </w:r>
            <w:r>
              <w:t>1</w:t>
            </w:r>
            <w:r>
              <w:rPr>
                <w:spacing w:val="-2"/>
              </w:rPr>
              <w:t>1</w:t>
            </w:r>
            <w:r>
              <w:t>4</w:t>
            </w:r>
          </w:p>
        </w:tc>
        <w:tc>
          <w:tcPr>
            <w:tcW w:w="2282" w:type="dxa"/>
          </w:tcPr>
          <w:p w:rsidR="006033FD" w:rsidRDefault="00E21E01">
            <w:pPr>
              <w:pStyle w:val="TableParagraph"/>
              <w:spacing w:before="2"/>
              <w:ind w:left="107" w:right="111"/>
              <w:jc w:val="left"/>
              <w:rPr>
                <w:b/>
              </w:rPr>
            </w:pPr>
            <w:r>
              <w:t xml:space="preserve">Kalem İğne Ucu </w:t>
            </w:r>
            <w:r>
              <w:rPr>
                <w:b/>
                <w:color w:val="00AF50"/>
              </w:rPr>
              <w:t>(100 Adet)</w:t>
            </w:r>
          </w:p>
        </w:tc>
        <w:tc>
          <w:tcPr>
            <w:tcW w:w="1460" w:type="dxa"/>
          </w:tcPr>
          <w:p w:rsidR="006033FD" w:rsidRDefault="00E21E01">
            <w:pPr>
              <w:pStyle w:val="TableParagraph"/>
              <w:spacing w:before="2"/>
              <w:ind w:left="107"/>
              <w:jc w:val="left"/>
              <w:rPr>
                <w:b/>
              </w:rPr>
            </w:pPr>
            <w:r>
              <w:rPr>
                <w:b/>
                <w:color w:val="00AF50"/>
              </w:rPr>
              <w:t>23,61 TL</w:t>
            </w:r>
          </w:p>
        </w:tc>
      </w:tr>
    </w:tbl>
    <w:p w:rsidR="006033FD" w:rsidRDefault="006033FD">
      <w:pPr>
        <w:sectPr w:rsidR="006033FD">
          <w:footerReference w:type="default" r:id="rId9"/>
          <w:pgSz w:w="11910" w:h="16840"/>
          <w:pgMar w:top="1380" w:right="1180" w:bottom="1140" w:left="1180" w:header="0" w:footer="942" w:gutter="0"/>
          <w:pgNumType w:start="11"/>
          <w:cols w:space="708"/>
        </w:sectPr>
      </w:pPr>
    </w:p>
    <w:p w:rsidR="006033FD" w:rsidRDefault="006033FD">
      <w:pPr>
        <w:spacing w:before="25"/>
        <w:ind w:left="236"/>
        <w:rPr>
          <w:b/>
        </w:rPr>
      </w:pPr>
      <w:r w:rsidRPr="006033FD">
        <w:lastRenderedPageBreak/>
        <w:pict>
          <v:group id="_x0000_s2142" style="position:absolute;left:0;text-align:left;margin-left:64.95pt;margin-top:70.55pt;width:469.8pt;height:690.4pt;z-index:-20464;mso-position-horizontal-relative:page;mso-position-vertical-relative:page" coordorigin="1299,1411" coordsize="9396,13808">
            <v:line id="_x0000_s2172" style="position:absolute" from="1313,1421" to="10593,1421" strokeweight=".48pt"/>
            <v:line id="_x0000_s2171" style="position:absolute" from="1313,2016" to="10593,2016" strokeweight=".48pt"/>
            <v:line id="_x0000_s2170" style="position:absolute" from="1313,3651" to="10593,3651" strokeweight=".48pt"/>
            <v:line id="_x0000_s2169" style="position:absolute" from="1313,4832" to="10593,4832" strokeweight=".48pt"/>
            <v:line id="_x0000_s2168" style="position:absolute" from="1313,6558" to="10593,6558" strokeweight=".48pt"/>
            <v:line id="_x0000_s2167" style="position:absolute" from="1313,7621" to="10593,7621" strokeweight=".48pt"/>
            <v:line id="_x0000_s2166" style="position:absolute" from="1313,8637" to="10593,8637" strokeweight=".48pt"/>
            <v:line id="_x0000_s2165" style="position:absolute" from="1313,9683" to="10593,9683" strokeweight=".48pt"/>
            <v:line id="_x0000_s2164" style="position:absolute" from="1313,10698" to="10593,10698" strokeweight=".48pt"/>
            <v:line id="_x0000_s2163" style="position:absolute" from="1313,11728" to="10593,11728" strokeweight=".48pt"/>
            <v:line id="_x0000_s2162" style="position:absolute" from="1313,12744" to="10593,12744" strokeweight=".48pt"/>
            <v:line id="_x0000_s2161" style="position:absolute" from="1313,13840" to="10593,13840" strokeweight=".48pt"/>
            <v:line id="_x0000_s2160" style="position:absolute" from="1308,1416" to="1308,15209" strokeweight=".48pt"/>
            <v:line id="_x0000_s2159" style="position:absolute" from="1304,15214" to="1313,15214" strokeweight=".48pt"/>
            <v:line id="_x0000_s2158" style="position:absolute" from="1304,15214" to="1313,15214" strokeweight=".48pt"/>
            <v:line id="_x0000_s2157" style="position:absolute" from="1313,15214" to="10593,15214" strokeweight=".48pt"/>
            <v:line id="_x0000_s2156" style="position:absolute" from="10598,1416" to="10598,15209" strokeweight=".48pt"/>
            <v:line id="_x0000_s2155" style="position:absolute" from="10593,15214" to="10603,15214" strokeweight=".48pt"/>
            <v:line id="_x0000_s2154" style="position:absolute" from="10593,15214" to="10603,15214"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447;top:2315;width:9226;height:1038">
              <v:imagedata r:id="rId10" o:title=""/>
            </v:shape>
            <v:shape id="_x0000_s2152" type="#_x0000_t75" style="position:absolute;left:1447;top:3948;width:9247;height:586">
              <v:imagedata r:id="rId11" o:title=""/>
            </v:shape>
            <v:shape id="_x0000_s2151" type="#_x0000_t75" style="position:absolute;left:1447;top:5422;width:9247;height:837">
              <v:imagedata r:id="rId12" o:title=""/>
            </v:shape>
            <v:shape id="_x0000_s2150" type="#_x0000_t75" style="position:absolute;left:1447;top:6854;width:9247;height:469">
              <v:imagedata r:id="rId13" o:title=""/>
            </v:shape>
            <v:shape id="_x0000_s2149" type="#_x0000_t75" style="position:absolute;left:1447;top:7918;width:9247;height:419">
              <v:imagedata r:id="rId14" o:title=""/>
            </v:shape>
            <v:shape id="_x0000_s2148" type="#_x0000_t75" style="position:absolute;left:1447;top:8933;width:9247;height:452">
              <v:imagedata r:id="rId15" o:title=""/>
            </v:shape>
            <v:shape id="_x0000_s2147" type="#_x0000_t75" style="position:absolute;left:1447;top:9980;width:9247;height:419">
              <v:imagedata r:id="rId16" o:title=""/>
            </v:shape>
            <v:shape id="_x0000_s2146" type="#_x0000_t75" style="position:absolute;left:1447;top:10994;width:9247;height:435">
              <v:imagedata r:id="rId17" o:title=""/>
            </v:shape>
            <v:shape id="_x0000_s2145" type="#_x0000_t75" style="position:absolute;left:1447;top:12024;width:9247;height:419">
              <v:imagedata r:id="rId18" o:title=""/>
            </v:shape>
            <v:shape id="_x0000_s2144" type="#_x0000_t75" style="position:absolute;left:1447;top:13039;width:9247;height:502">
              <v:imagedata r:id="rId19" o:title=""/>
            </v:shape>
            <v:shape id="_x0000_s2143" type="#_x0000_t75" style="position:absolute;left:1447;top:14136;width:9247;height:486">
              <v:imagedata r:id="rId20" o:title=""/>
            </v:shape>
            <w10:wrap anchorx="page" anchory="page"/>
          </v:group>
        </w:pict>
      </w:r>
      <w:r w:rsidR="00E21E01">
        <w:rPr>
          <w:b/>
        </w:rPr>
        <w:t>EK-2/B - Hizmet BaĢı ĠĢlem Puan Listesi</w:t>
      </w:r>
    </w:p>
    <w:p w:rsidR="006033FD" w:rsidRDefault="006033FD">
      <w:pPr>
        <w:pStyle w:val="GvdeMetni"/>
        <w:spacing w:before="8"/>
        <w:rPr>
          <w:b/>
          <w:sz w:val="19"/>
        </w:rPr>
      </w:pPr>
    </w:p>
    <w:p w:rsidR="006033FD" w:rsidRDefault="00E21E01">
      <w:pPr>
        <w:pStyle w:val="ListeParagraf"/>
        <w:numPr>
          <w:ilvl w:val="0"/>
          <w:numId w:val="6"/>
        </w:numPr>
        <w:tabs>
          <w:tab w:val="left" w:pos="957"/>
        </w:tabs>
      </w:pPr>
      <w:r>
        <w:rPr>
          <w:color w:val="211F1F"/>
        </w:rPr>
        <w:t>Listede yer alan “510110”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rPr>
          <w:sz w:val="17"/>
        </w:rPr>
      </w:pPr>
    </w:p>
    <w:p w:rsidR="006033FD" w:rsidRDefault="00E21E01">
      <w:pPr>
        <w:pStyle w:val="ListeParagraf"/>
        <w:numPr>
          <w:ilvl w:val="0"/>
          <w:numId w:val="6"/>
        </w:numPr>
        <w:tabs>
          <w:tab w:val="left" w:pos="957"/>
        </w:tabs>
      </w:pPr>
      <w:r>
        <w:rPr>
          <w:color w:val="211F1F"/>
        </w:rPr>
        <w:t>Listede yer alan “ 607910”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9"/>
        <w:rPr>
          <w:sz w:val="23"/>
        </w:rPr>
      </w:pPr>
    </w:p>
    <w:p w:rsidR="006033FD" w:rsidRDefault="00E21E01">
      <w:pPr>
        <w:pStyle w:val="ListeParagraf"/>
        <w:numPr>
          <w:ilvl w:val="0"/>
          <w:numId w:val="6"/>
        </w:numPr>
        <w:tabs>
          <w:tab w:val="left" w:pos="957"/>
        </w:tabs>
        <w:ind w:right="316"/>
      </w:pPr>
      <w:r>
        <w:rPr>
          <w:color w:val="211F1F"/>
        </w:rPr>
        <w:t>Listede yer alan “7.5 Fizik Tedavi Ve Rehabilitasyon” SUT kodlu işlem satırı aşağıdaki şekilde</w:t>
      </w:r>
      <w:r>
        <w:rPr>
          <w:color w:val="211F1F"/>
          <w:spacing w:val="-15"/>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pPr>
    </w:p>
    <w:p w:rsidR="006033FD" w:rsidRDefault="00E21E01">
      <w:pPr>
        <w:pStyle w:val="GvdeMetni"/>
        <w:spacing w:before="42"/>
        <w:ind w:left="536"/>
      </w:pPr>
      <w:r>
        <w:rPr>
          <w:color w:val="211F1F"/>
        </w:rPr>
        <w:t>ç) Listede yer alan “ 701580”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0"/>
        <w:rPr>
          <w:sz w:val="14"/>
        </w:rPr>
      </w:pPr>
    </w:p>
    <w:p w:rsidR="006033FD" w:rsidRDefault="00E21E01">
      <w:pPr>
        <w:pStyle w:val="ListeParagraf"/>
        <w:numPr>
          <w:ilvl w:val="0"/>
          <w:numId w:val="6"/>
        </w:numPr>
        <w:tabs>
          <w:tab w:val="left" w:pos="957"/>
        </w:tabs>
      </w:pPr>
      <w:r>
        <w:rPr>
          <w:color w:val="211F1F"/>
        </w:rPr>
        <w:t>Listede yer alan “ 701590”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E21E01">
      <w:pPr>
        <w:pStyle w:val="ListeParagraf"/>
        <w:numPr>
          <w:ilvl w:val="0"/>
          <w:numId w:val="6"/>
        </w:numPr>
        <w:tabs>
          <w:tab w:val="left" w:pos="957"/>
        </w:tabs>
        <w:spacing w:before="191"/>
      </w:pPr>
      <w:r>
        <w:rPr>
          <w:color w:val="211F1F"/>
        </w:rPr>
        <w:t>Listede yer alan “ 701600” SUT kodlu işlem satırı aşağıdaki şekilde</w:t>
      </w:r>
      <w:r>
        <w:rPr>
          <w:color w:val="211F1F"/>
          <w:spacing w:val="-41"/>
        </w:rPr>
        <w:t xml:space="preserve"> </w:t>
      </w:r>
      <w:r>
        <w:rPr>
          <w:color w:val="211F1F"/>
        </w:rPr>
        <w:t>değiştir</w:t>
      </w:r>
      <w:r>
        <w:rPr>
          <w:color w:val="211F1F"/>
        </w:rPr>
        <w:t>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rPr>
          <w:sz w:val="13"/>
        </w:rPr>
      </w:pPr>
    </w:p>
    <w:p w:rsidR="006033FD" w:rsidRDefault="00E21E01">
      <w:pPr>
        <w:pStyle w:val="ListeParagraf"/>
        <w:numPr>
          <w:ilvl w:val="0"/>
          <w:numId w:val="6"/>
        </w:numPr>
        <w:tabs>
          <w:tab w:val="left" w:pos="956"/>
          <w:tab w:val="left" w:pos="957"/>
        </w:tabs>
      </w:pPr>
      <w:r>
        <w:rPr>
          <w:color w:val="211F1F"/>
        </w:rPr>
        <w:t>Listede yer alan “ 701610”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E21E01">
      <w:pPr>
        <w:pStyle w:val="ListeParagraf"/>
        <w:numPr>
          <w:ilvl w:val="0"/>
          <w:numId w:val="6"/>
        </w:numPr>
        <w:tabs>
          <w:tab w:val="left" w:pos="957"/>
        </w:tabs>
        <w:spacing w:before="190"/>
      </w:pPr>
      <w:r>
        <w:rPr>
          <w:color w:val="211F1F"/>
        </w:rPr>
        <w:t>Listede yer alan “ 701620”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6"/>
        <w:rPr>
          <w:sz w:val="15"/>
        </w:rPr>
      </w:pPr>
    </w:p>
    <w:p w:rsidR="006033FD" w:rsidRDefault="00E21E01">
      <w:pPr>
        <w:pStyle w:val="GvdeMetni"/>
        <w:ind w:left="596"/>
      </w:pPr>
      <w:r>
        <w:rPr>
          <w:color w:val="211F1F"/>
        </w:rPr>
        <w:t>ğ) Listede yer alan “ 701630”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E21E01">
      <w:pPr>
        <w:pStyle w:val="ListeParagraf"/>
        <w:numPr>
          <w:ilvl w:val="0"/>
          <w:numId w:val="6"/>
        </w:numPr>
        <w:tabs>
          <w:tab w:val="left" w:pos="957"/>
        </w:tabs>
        <w:spacing w:before="190"/>
      </w:pPr>
      <w:r>
        <w:rPr>
          <w:color w:val="211F1F"/>
        </w:rPr>
        <w:t>Listede yer alan “ 701640”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4"/>
        <w:rPr>
          <w:sz w:val="17"/>
        </w:rPr>
      </w:pPr>
    </w:p>
    <w:p w:rsidR="006033FD" w:rsidRDefault="00E21E01">
      <w:pPr>
        <w:pStyle w:val="GvdeMetni"/>
        <w:spacing w:before="42"/>
        <w:ind w:left="596"/>
      </w:pPr>
      <w:r>
        <w:rPr>
          <w:color w:val="211F1F"/>
        </w:rPr>
        <w:t>I) Listede yer alan “ 701650” SUT kodlu işlem satırı aşağıdaki şekilde değiş</w:t>
      </w:r>
      <w:r>
        <w:rPr>
          <w:color w:val="211F1F"/>
        </w:rPr>
        <w:t>tirilmiştir.</w:t>
      </w:r>
    </w:p>
    <w:p w:rsidR="006033FD" w:rsidRDefault="006033FD">
      <w:pPr>
        <w:sectPr w:rsidR="006033FD">
          <w:pgSz w:w="11910" w:h="16840"/>
          <w:pgMar w:top="1380" w:right="1100" w:bottom="1200" w:left="1180" w:header="0" w:footer="942" w:gutter="0"/>
          <w:cols w:space="708"/>
        </w:sectPr>
      </w:pPr>
    </w:p>
    <w:p w:rsidR="006033FD" w:rsidRDefault="006033FD">
      <w:pPr>
        <w:pStyle w:val="ListeParagraf"/>
        <w:numPr>
          <w:ilvl w:val="0"/>
          <w:numId w:val="5"/>
        </w:numPr>
        <w:tabs>
          <w:tab w:val="left" w:pos="956"/>
          <w:tab w:val="left" w:pos="957"/>
        </w:tabs>
        <w:spacing w:before="25"/>
      </w:pPr>
      <w:r w:rsidRPr="006033FD">
        <w:lastRenderedPageBreak/>
        <w:pict>
          <v:group id="_x0000_s2110" style="position:absolute;left:0;text-align:left;margin-left:64.95pt;margin-top:70.55pt;width:469.8pt;height:689.7pt;z-index:-20440;mso-position-horizontal-relative:page;mso-position-vertical-relative:page" coordorigin="1299,1411" coordsize="9396,13794">
            <v:line id="_x0000_s2141" style="position:absolute" from="1313,1421" to="10593,1421" strokeweight=".48pt"/>
            <v:line id="_x0000_s2140" style="position:absolute" from="1313,2194" to="10593,2194" strokeweight=".48pt"/>
            <v:line id="_x0000_s2139" style="position:absolute" from="1313,3392" to="10593,3392" strokeweight=".48pt"/>
            <v:line id="_x0000_s2138" style="position:absolute" from="1313,4421" to="10593,4421" strokeweight=".48pt"/>
            <v:line id="_x0000_s2137" style="position:absolute" from="1313,5471" to="10593,5471" strokeweight=".48pt"/>
            <v:line id="_x0000_s2136" style="position:absolute" from="1313,6551" to="10593,6551" strokeweight=".48pt"/>
            <v:line id="_x0000_s2135" style="position:absolute" from="1313,7616" to="10593,7616" strokeweight=".48pt"/>
            <v:line id="_x0000_s2134" style="position:absolute" from="1313,8680" to="10593,8680" strokeweight=".48pt"/>
            <v:line id="_x0000_s2133" style="position:absolute" from="1313,9877" to="10593,9877" strokeweight=".48pt"/>
            <v:line id="_x0000_s2132" style="position:absolute" from="1313,11387" to="10593,11387" strokeweight=".48pt"/>
            <v:line id="_x0000_s2131" style="position:absolute" from="1313,12744" to="10593,12744" strokeweight=".48pt"/>
            <v:line id="_x0000_s2130" style="position:absolute" from="1313,13826" to="10593,13826" strokeweight=".48pt"/>
            <v:line id="_x0000_s2129" style="position:absolute" from="1308,1416" to="1308,15194" strokeweight=".48pt"/>
            <v:line id="_x0000_s2128" style="position:absolute" from="1304,15199" to="1313,15199" strokeweight=".48pt"/>
            <v:line id="_x0000_s2127" style="position:absolute" from="1304,15199" to="1313,15199" strokeweight=".48pt"/>
            <v:line id="_x0000_s2126" style="position:absolute" from="1313,15199" to="10593,15199" strokeweight=".48pt"/>
            <v:line id="_x0000_s2125" style="position:absolute" from="10598,1416" to="10598,15194" strokeweight=".48pt"/>
            <v:line id="_x0000_s2124" style="position:absolute" from="10593,15199" to="10603,15199" strokeweight=".48pt"/>
            <v:line id="_x0000_s2123" style="position:absolute" from="10593,15199" to="10603,15199" strokeweight=".48pt"/>
            <v:shape id="_x0000_s2122" type="#_x0000_t75" style="position:absolute;left:1447;top:1720;width:9247;height:469">
              <v:imagedata r:id="rId21" o:title=""/>
            </v:shape>
            <v:shape id="_x0000_s2121" type="#_x0000_t75" style="position:absolute;left:1447;top:2491;width:9247;height:603">
              <v:imagedata r:id="rId22" o:title=""/>
            </v:shape>
            <v:shape id="_x0000_s2120" type="#_x0000_t75" style="position:absolute;left:1447;top:3689;width:9247;height:435">
              <v:imagedata r:id="rId23" o:title=""/>
            </v:shape>
            <v:shape id="_x0000_s2119" type="#_x0000_t75" style="position:absolute;left:1447;top:4720;width:9247;height:452">
              <v:imagedata r:id="rId24" o:title=""/>
            </v:shape>
            <v:shape id="_x0000_s2118" type="#_x0000_t75" style="position:absolute;left:1447;top:5767;width:9247;height:486">
              <v:imagedata r:id="rId25" o:title=""/>
            </v:shape>
            <v:shape id="_x0000_s2117" type="#_x0000_t75" style="position:absolute;left:1447;top:6848;width:9247;height:469">
              <v:imagedata r:id="rId26" o:title=""/>
            </v:shape>
            <v:shape id="_x0000_s2116" type="#_x0000_t75" style="position:absolute;left:1447;top:7912;width:9247;height:469">
              <v:imagedata r:id="rId27" o:title=""/>
            </v:shape>
            <v:shape id="_x0000_s2115" type="#_x0000_t75" style="position:absolute;left:1447;top:8977;width:9247;height:603">
              <v:imagedata r:id="rId28" o:title=""/>
            </v:shape>
            <v:shape id="_x0000_s2114" type="#_x0000_t75" style="position:absolute;left:1447;top:10467;width:9247;height:620">
              <v:imagedata r:id="rId29" o:title=""/>
            </v:shape>
            <v:shape id="_x0000_s2113" type="#_x0000_t75" style="position:absolute;left:1447;top:11975;width:9247;height:469">
              <v:imagedata r:id="rId30" o:title=""/>
            </v:shape>
            <v:shape id="_x0000_s2112" type="#_x0000_t75" style="position:absolute;left:1447;top:13040;width:9247;height:486">
              <v:imagedata r:id="rId31" o:title=""/>
            </v:shape>
            <v:shape id="_x0000_s2111" type="#_x0000_t75" style="position:absolute;left:1447;top:14413;width:9247;height:486">
              <v:imagedata r:id="rId32" o:title=""/>
            </v:shape>
            <w10:wrap anchorx="page" anchory="page"/>
          </v:group>
        </w:pict>
      </w:r>
      <w:r w:rsidR="00E21E01">
        <w:rPr>
          <w:color w:val="211F1F"/>
        </w:rPr>
        <w:t>Listede yer alan “ 701660” SUT kodlu işlem satırı aşağıdaki şekilde</w:t>
      </w:r>
      <w:r w:rsidR="00E21E01">
        <w:rPr>
          <w:color w:val="211F1F"/>
          <w:spacing w:val="-41"/>
        </w:rPr>
        <w:t xml:space="preserve"> </w:t>
      </w:r>
      <w:r w:rsidR="00E21E01">
        <w:rPr>
          <w:color w:val="211F1F"/>
        </w:rPr>
        <w:t>değiştirilmiştir.</w:t>
      </w:r>
    </w:p>
    <w:p w:rsidR="006033FD" w:rsidRDefault="006033FD">
      <w:pPr>
        <w:pStyle w:val="GvdeMetni"/>
        <w:rPr>
          <w:sz w:val="20"/>
        </w:rPr>
      </w:pPr>
    </w:p>
    <w:p w:rsidR="006033FD" w:rsidRDefault="006033FD">
      <w:pPr>
        <w:pStyle w:val="GvdeMetni"/>
        <w:spacing w:before="12"/>
        <w:rPr>
          <w:sz w:val="15"/>
        </w:rPr>
      </w:pPr>
    </w:p>
    <w:p w:rsidR="006033FD" w:rsidRDefault="00E21E01">
      <w:pPr>
        <w:pStyle w:val="ListeParagraf"/>
        <w:numPr>
          <w:ilvl w:val="0"/>
          <w:numId w:val="5"/>
        </w:numPr>
        <w:tabs>
          <w:tab w:val="left" w:pos="956"/>
          <w:tab w:val="left" w:pos="957"/>
        </w:tabs>
        <w:spacing w:before="0"/>
      </w:pPr>
      <w:r>
        <w:rPr>
          <w:color w:val="211F1F"/>
        </w:rPr>
        <w:t>Listede yer alan “ 701670”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2"/>
        <w:rPr>
          <w:sz w:val="24"/>
        </w:rPr>
      </w:pPr>
    </w:p>
    <w:p w:rsidR="006033FD" w:rsidRDefault="00E21E01">
      <w:pPr>
        <w:pStyle w:val="ListeParagraf"/>
        <w:numPr>
          <w:ilvl w:val="0"/>
          <w:numId w:val="5"/>
        </w:numPr>
        <w:tabs>
          <w:tab w:val="left" w:pos="957"/>
        </w:tabs>
        <w:spacing w:before="41"/>
      </w:pPr>
      <w:r>
        <w:rPr>
          <w:color w:val="211F1F"/>
        </w:rPr>
        <w:t>Listede yer alan “ 701680” SUT kodlu işlem satırı aşağıdaki şekilde</w:t>
      </w:r>
      <w:r>
        <w:rPr>
          <w:color w:val="211F1F"/>
          <w:spacing w:val="-40"/>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rPr>
          <w:sz w:val="15"/>
        </w:rPr>
      </w:pPr>
    </w:p>
    <w:p w:rsidR="006033FD" w:rsidRDefault="00E21E01">
      <w:pPr>
        <w:pStyle w:val="ListeParagraf"/>
        <w:numPr>
          <w:ilvl w:val="0"/>
          <w:numId w:val="5"/>
        </w:numPr>
        <w:tabs>
          <w:tab w:val="left" w:pos="956"/>
          <w:tab w:val="left" w:pos="957"/>
        </w:tabs>
        <w:spacing w:before="1"/>
      </w:pPr>
      <w:r>
        <w:rPr>
          <w:color w:val="211F1F"/>
        </w:rPr>
        <w:t>Listede yer alan “ 701690”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rPr>
          <w:sz w:val="13"/>
        </w:rPr>
      </w:pPr>
    </w:p>
    <w:p w:rsidR="006033FD" w:rsidRDefault="00E21E01">
      <w:pPr>
        <w:pStyle w:val="ListeParagraf"/>
        <w:numPr>
          <w:ilvl w:val="0"/>
          <w:numId w:val="5"/>
        </w:numPr>
        <w:tabs>
          <w:tab w:val="left" w:pos="957"/>
        </w:tabs>
      </w:pPr>
      <w:r>
        <w:rPr>
          <w:color w:val="211F1F"/>
        </w:rPr>
        <w:t>Listede yer alan “ 701700” SUT kodlu işlem satırı aşağıdaki şekilde</w:t>
      </w:r>
      <w:r>
        <w:rPr>
          <w:color w:val="211F1F"/>
          <w:spacing w:val="-41"/>
        </w:rPr>
        <w:t xml:space="preserve"> </w:t>
      </w:r>
      <w:r>
        <w:rPr>
          <w:color w:val="211F1F"/>
        </w:rPr>
        <w:t>değiştiril</w:t>
      </w:r>
      <w:r>
        <w:rPr>
          <w:color w:val="211F1F"/>
        </w:rPr>
        <w:t>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16"/>
        </w:rPr>
      </w:pPr>
    </w:p>
    <w:p w:rsidR="006033FD" w:rsidRDefault="00E21E01">
      <w:pPr>
        <w:pStyle w:val="ListeParagraf"/>
        <w:numPr>
          <w:ilvl w:val="0"/>
          <w:numId w:val="5"/>
        </w:numPr>
        <w:tabs>
          <w:tab w:val="left" w:pos="957"/>
        </w:tabs>
      </w:pPr>
      <w:r>
        <w:rPr>
          <w:color w:val="211F1F"/>
        </w:rPr>
        <w:t>Listede yer alan “ 701710”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3"/>
        <w:rPr>
          <w:sz w:val="14"/>
        </w:rPr>
      </w:pPr>
    </w:p>
    <w:p w:rsidR="006033FD" w:rsidRDefault="00E21E01">
      <w:pPr>
        <w:pStyle w:val="ListeParagraf"/>
        <w:numPr>
          <w:ilvl w:val="0"/>
          <w:numId w:val="5"/>
        </w:numPr>
        <w:tabs>
          <w:tab w:val="left" w:pos="957"/>
        </w:tabs>
        <w:spacing w:before="41"/>
      </w:pPr>
      <w:r>
        <w:rPr>
          <w:color w:val="211F1F"/>
        </w:rPr>
        <w:t>Listede yer alan “ 701720”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1"/>
        <w:rPr>
          <w:sz w:val="14"/>
        </w:rPr>
      </w:pPr>
    </w:p>
    <w:p w:rsidR="006033FD" w:rsidRDefault="00E21E01">
      <w:pPr>
        <w:pStyle w:val="GvdeMetni"/>
        <w:spacing w:before="41"/>
        <w:ind w:left="536"/>
      </w:pPr>
      <w:r>
        <w:rPr>
          <w:color w:val="211F1F"/>
        </w:rPr>
        <w:t>ö) Listede yer alan “ 701730”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
        <w:rPr>
          <w:sz w:val="25"/>
        </w:rPr>
      </w:pPr>
    </w:p>
    <w:p w:rsidR="006033FD" w:rsidRDefault="00E21E01">
      <w:pPr>
        <w:pStyle w:val="ListeParagraf"/>
        <w:numPr>
          <w:ilvl w:val="0"/>
          <w:numId w:val="5"/>
        </w:numPr>
        <w:tabs>
          <w:tab w:val="left" w:pos="957"/>
        </w:tabs>
        <w:ind w:right="313"/>
      </w:pPr>
      <w:r>
        <w:rPr>
          <w:color w:val="211F1F"/>
        </w:rPr>
        <w:t>Listede yer alan “ Fizik tedavi uygulamaları”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2"/>
        <w:rPr>
          <w:sz w:val="26"/>
        </w:rPr>
      </w:pPr>
    </w:p>
    <w:p w:rsidR="006033FD" w:rsidRDefault="00E21E01">
      <w:pPr>
        <w:pStyle w:val="ListeParagraf"/>
        <w:numPr>
          <w:ilvl w:val="0"/>
          <w:numId w:val="4"/>
        </w:numPr>
        <w:tabs>
          <w:tab w:val="left" w:pos="956"/>
          <w:tab w:val="left" w:pos="957"/>
        </w:tabs>
        <w:ind w:right="315"/>
      </w:pPr>
      <w:r>
        <w:rPr>
          <w:color w:val="211F1F"/>
        </w:rPr>
        <w:t>Listede yer alan “ Hidroterapi - Balneoterapi”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0"/>
        <w:rPr>
          <w:sz w:val="14"/>
        </w:rPr>
      </w:pPr>
    </w:p>
    <w:p w:rsidR="006033FD" w:rsidRDefault="00E21E01">
      <w:pPr>
        <w:pStyle w:val="ListeParagraf"/>
        <w:numPr>
          <w:ilvl w:val="0"/>
          <w:numId w:val="4"/>
        </w:numPr>
        <w:tabs>
          <w:tab w:val="left" w:pos="957"/>
        </w:tabs>
      </w:pPr>
      <w:r>
        <w:rPr>
          <w:color w:val="211F1F"/>
        </w:rPr>
        <w:t>Listede yer alan “ 702020 ”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3"/>
        <w:rPr>
          <w:sz w:val="16"/>
        </w:rPr>
      </w:pPr>
    </w:p>
    <w:p w:rsidR="006033FD" w:rsidRDefault="00E21E01">
      <w:pPr>
        <w:pStyle w:val="GvdeMetni"/>
        <w:spacing w:before="42"/>
        <w:ind w:left="236" w:firstLine="360"/>
      </w:pPr>
      <w:r>
        <w:rPr>
          <w:color w:val="211F1F"/>
        </w:rPr>
        <w:t>ş) Listede yer alan “ Rehabilitasyon ugulamaları” SUT kod</w:t>
      </w:r>
      <w:r>
        <w:rPr>
          <w:color w:val="211F1F"/>
        </w:rPr>
        <w:t>lu işlem satırı aşağıdaki şekilde değiştirilmiştir.</w:t>
      </w:r>
    </w:p>
    <w:p w:rsidR="006033FD" w:rsidRDefault="006033FD">
      <w:pPr>
        <w:sectPr w:rsidR="006033FD">
          <w:pgSz w:w="11910" w:h="16840"/>
          <w:pgMar w:top="1380" w:right="1100" w:bottom="1200" w:left="1180" w:header="0" w:footer="942" w:gutter="0"/>
          <w:cols w:space="708"/>
        </w:sectPr>
      </w:pPr>
    </w:p>
    <w:p w:rsidR="006033FD" w:rsidRDefault="006033FD">
      <w:pPr>
        <w:pStyle w:val="ListeParagraf"/>
        <w:numPr>
          <w:ilvl w:val="0"/>
          <w:numId w:val="4"/>
        </w:numPr>
        <w:tabs>
          <w:tab w:val="left" w:pos="936"/>
          <w:tab w:val="left" w:pos="937"/>
        </w:tabs>
        <w:spacing w:before="25"/>
        <w:ind w:left="936"/>
      </w:pPr>
      <w:r w:rsidRPr="006033FD">
        <w:lastRenderedPageBreak/>
        <w:pict>
          <v:group id="_x0000_s2092" style="position:absolute;left:0;text-align:left;margin-left:65.15pt;margin-top:70.55pt;width:469.55pt;height:693.9pt;z-index:-20416;mso-position-horizontal-relative:page;mso-position-vertical-relative:page" coordorigin="1303,1411" coordsize="9391,13878">
            <v:line id="_x0000_s2109" style="position:absolute" from="1313,1421" to="10593,1421" strokeweight=".48pt"/>
            <v:line id="_x0000_s2108" style="position:absolute" from="1313,2672" to="10593,2672" strokeweight=".48pt"/>
            <v:line id="_x0000_s2107" style="position:absolute" from="1313,3752" to="10593,3752" strokeweight=".48pt"/>
            <v:line id="_x0000_s2106" style="position:absolute" from="1313,4865" to="10593,4865" strokeweight=".48pt"/>
            <v:line id="_x0000_s2105" style="position:absolute" from="1313,6968" to="10593,6968" strokeweight=".48pt"/>
            <v:line id="_x0000_s2104" style="position:absolute" from="1313,9640" to="10593,9640" strokeweight=".48pt"/>
            <v:line id="_x0000_s2103" style="position:absolute" from="1313,12328" to="10593,12328" strokeweight=".48pt"/>
            <v:line id="_x0000_s2102" style="position:absolute" from="1308,1416" to="1308,15283" strokeweight=".48pt"/>
            <v:line id="_x0000_s2101" style="position:absolute" from="1313,15278" to="10593,15278" strokeweight=".16936mm"/>
            <v:line id="_x0000_s2100" style="position:absolute" from="10598,1416" to="10598,15283" strokeweight=".48pt"/>
            <v:shape id="_x0000_s2099" type="#_x0000_t75" style="position:absolute;left:1447;top:1720;width:9247;height:653">
              <v:imagedata r:id="rId33" o:title=""/>
            </v:shape>
            <v:shape id="_x0000_s2098" type="#_x0000_t75" style="position:absolute;left:1447;top:2968;width:9247;height:486">
              <v:imagedata r:id="rId34" o:title=""/>
            </v:shape>
            <v:shape id="_x0000_s2097" type="#_x0000_t75" style="position:absolute;left:1447;top:4049;width:9247;height:519">
              <v:imagedata r:id="rId35" o:title=""/>
            </v:shape>
            <v:shape id="_x0000_s2096" type="#_x0000_t75" style="position:absolute;left:1447;top:5163;width:9247;height:1507">
              <v:imagedata r:id="rId36" o:title=""/>
            </v:shape>
            <v:shape id="_x0000_s2095" type="#_x0000_t75" style="position:absolute;left:1447;top:7266;width:9247;height:2076">
              <v:imagedata r:id="rId37" o:title=""/>
            </v:shape>
            <v:shape id="_x0000_s2094" type="#_x0000_t75" style="position:absolute;left:1447;top:9937;width:9247;height:2093">
              <v:imagedata r:id="rId38" o:title=""/>
            </v:shape>
            <v:shape id="_x0000_s2093" type="#_x0000_t75" style="position:absolute;left:1447;top:12625;width:9247;height:2060">
              <v:imagedata r:id="rId39" o:title=""/>
            </v:shape>
            <w10:wrap anchorx="page" anchory="page"/>
          </v:group>
        </w:pict>
      </w:r>
      <w:r w:rsidR="00E21E01">
        <w:rPr>
          <w:color w:val="211F1F"/>
        </w:rPr>
        <w:t>Listede yer alan “ 702250” SUT kodlu işlem satırı aşağıdaki şekilde</w:t>
      </w:r>
      <w:r w:rsidR="00E21E01">
        <w:rPr>
          <w:color w:val="211F1F"/>
          <w:spacing w:val="-41"/>
        </w:rPr>
        <w:t xml:space="preserve"> </w:t>
      </w:r>
      <w:r w:rsidR="00E21E01">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9"/>
        <w:rPr>
          <w:sz w:val="28"/>
        </w:rPr>
      </w:pPr>
    </w:p>
    <w:p w:rsidR="006033FD" w:rsidRDefault="00E21E01">
      <w:pPr>
        <w:pStyle w:val="ListeParagraf"/>
        <w:numPr>
          <w:ilvl w:val="0"/>
          <w:numId w:val="4"/>
        </w:numPr>
        <w:tabs>
          <w:tab w:val="left" w:pos="937"/>
        </w:tabs>
        <w:ind w:left="936"/>
      </w:pPr>
      <w:r>
        <w:rPr>
          <w:color w:val="211F1F"/>
        </w:rPr>
        <w:t>Listede yer alan “ 702430”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16"/>
        </w:rPr>
      </w:pPr>
    </w:p>
    <w:p w:rsidR="006033FD" w:rsidRDefault="00E21E01">
      <w:pPr>
        <w:pStyle w:val="GvdeMetni"/>
        <w:spacing w:before="42"/>
        <w:ind w:left="516"/>
      </w:pPr>
      <w:r>
        <w:rPr>
          <w:color w:val="211F1F"/>
        </w:rPr>
        <w:t>ü) Listede yer alan “ 702500”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8"/>
        <w:rPr>
          <w:sz w:val="18"/>
        </w:rPr>
      </w:pPr>
    </w:p>
    <w:p w:rsidR="006033FD" w:rsidRDefault="00E21E01">
      <w:pPr>
        <w:pStyle w:val="ListeParagraf"/>
        <w:numPr>
          <w:ilvl w:val="0"/>
          <w:numId w:val="4"/>
        </w:numPr>
        <w:tabs>
          <w:tab w:val="left" w:pos="937"/>
        </w:tabs>
        <w:ind w:left="936"/>
      </w:pPr>
      <w:r>
        <w:rPr>
          <w:color w:val="211F1F"/>
        </w:rPr>
        <w:t>Listede yer alan “ 704210” SUT kodlu işlem satırı aşağıdaki şekilde</w:t>
      </w:r>
      <w:r>
        <w:rPr>
          <w:color w:val="211F1F"/>
          <w:spacing w:val="-41"/>
        </w:rPr>
        <w:t xml:space="preserve"> </w:t>
      </w:r>
      <w:r>
        <w:rPr>
          <w:color w:val="211F1F"/>
        </w:rP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16"/>
        </w:rPr>
      </w:pPr>
    </w:p>
    <w:p w:rsidR="006033FD" w:rsidRDefault="00E21E01">
      <w:pPr>
        <w:pStyle w:val="ListeParagraf"/>
        <w:numPr>
          <w:ilvl w:val="0"/>
          <w:numId w:val="3"/>
        </w:numPr>
        <w:tabs>
          <w:tab w:val="left" w:pos="812"/>
        </w:tabs>
        <w:spacing w:before="1"/>
        <w:ind w:hanging="235"/>
      </w:pPr>
      <w:r>
        <w:rPr>
          <w:color w:val="211F1F"/>
        </w:rPr>
        <w:t>Listede yer alan “</w:t>
      </w:r>
      <w:r>
        <w:rPr>
          <w:color w:val="211F1F"/>
          <w:spacing w:val="-43"/>
        </w:rPr>
        <w:t xml:space="preserve"> </w:t>
      </w:r>
      <w:r>
        <w:rPr>
          <w:color w:val="211F1F"/>
        </w:rPr>
        <w:t xml:space="preserve">704230” SUT kodlu işlem satırı </w:t>
      </w:r>
      <w:r>
        <w:rPr>
          <w:color w:val="211F1F"/>
        </w:rPr>
        <w:t>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9"/>
        <w:rPr>
          <w:sz w:val="15"/>
        </w:rPr>
      </w:pPr>
    </w:p>
    <w:p w:rsidR="006033FD" w:rsidRDefault="00E21E01">
      <w:pPr>
        <w:pStyle w:val="ListeParagraf"/>
        <w:numPr>
          <w:ilvl w:val="0"/>
          <w:numId w:val="3"/>
        </w:numPr>
        <w:tabs>
          <w:tab w:val="left" w:pos="805"/>
        </w:tabs>
        <w:ind w:left="804" w:hanging="228"/>
      </w:pPr>
      <w:r>
        <w:rPr>
          <w:color w:val="211F1F"/>
        </w:rPr>
        <w:t>Listede yer alan “</w:t>
      </w:r>
      <w:r>
        <w:rPr>
          <w:color w:val="211F1F"/>
          <w:spacing w:val="-43"/>
        </w:rPr>
        <w:t xml:space="preserve"> </w:t>
      </w:r>
      <w:r>
        <w:rPr>
          <w:color w:val="211F1F"/>
        </w:rPr>
        <w:t>704233”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2"/>
        <w:rPr>
          <w:sz w:val="17"/>
        </w:rPr>
      </w:pPr>
    </w:p>
    <w:p w:rsidR="006033FD" w:rsidRDefault="00E21E01">
      <w:pPr>
        <w:pStyle w:val="GvdeMetni"/>
        <w:spacing w:before="42"/>
        <w:ind w:left="576"/>
      </w:pPr>
      <w:r>
        <w:rPr>
          <w:color w:val="211F1F"/>
        </w:rPr>
        <w:t>aa) Listede yer alan “ 704234” SUT kodlu işlem satırı aşağıdaki şekilde değiştirilmiştir.</w:t>
      </w:r>
    </w:p>
    <w:p w:rsidR="006033FD" w:rsidRDefault="006033FD">
      <w:pPr>
        <w:sectPr w:rsidR="006033FD">
          <w:pgSz w:w="11910" w:h="16840"/>
          <w:pgMar w:top="1380" w:right="1100" w:bottom="1200" w:left="1200" w:header="0" w:footer="942" w:gutter="0"/>
          <w:cols w:space="708"/>
        </w:sectPr>
      </w:pPr>
    </w:p>
    <w:p w:rsidR="006033FD" w:rsidRDefault="006033FD">
      <w:pPr>
        <w:pStyle w:val="GvdeMetni"/>
        <w:spacing w:before="25"/>
        <w:ind w:left="536"/>
      </w:pPr>
      <w:r w:rsidRPr="006033FD">
        <w:lastRenderedPageBreak/>
        <w:pict>
          <v:group id="_x0000_s2069" style="position:absolute;left:0;text-align:left;margin-left:64.95pt;margin-top:70.55pt;width:469.8pt;height:697.85pt;z-index:-20392;mso-position-horizontal-relative:page;mso-position-vertical-relative:page" coordorigin="1299,1411" coordsize="9396,13957">
            <v:line id="_x0000_s2091" style="position:absolute" from="1313,1421" to="10593,1421" strokeweight=".48pt"/>
            <v:line id="_x0000_s2090" style="position:absolute" from="1313,2705" to="10593,2705" strokeweight=".48pt"/>
            <v:line id="_x0000_s2089" style="position:absolute" from="1313,4220" to="10593,4220" strokeweight=".48pt"/>
            <v:line id="_x0000_s2088" style="position:absolute" from="1313,5471" to="10593,5471" strokeweight=".48pt"/>
            <v:line id="_x0000_s2087" style="position:absolute" from="1313,6066" to="10593,6066" strokeweight=".48pt"/>
            <v:line id="_x0000_s2086" style="position:absolute" from="1313,7580" to="10593,7580" strokeweight=".48pt"/>
            <v:line id="_x0000_s2085" style="position:absolute" from="1313,9097" to="10593,9097" strokeweight=".48pt"/>
            <v:line id="_x0000_s2084" style="position:absolute" from="1313,10941" to="10593,10941" strokeweight=".16936mm"/>
            <v:line id="_x0000_s2083" style="position:absolute" from="1308,1416" to="1308,15358" strokeweight=".48pt"/>
            <v:line id="_x0000_s2082" style="position:absolute" from="1304,15362" to="1313,15362" strokeweight=".48pt"/>
            <v:line id="_x0000_s2081" style="position:absolute" from="1304,15362" to="1313,15362" strokeweight=".48pt"/>
            <v:line id="_x0000_s2080" style="position:absolute" from="1313,15362" to="10593,15362" strokeweight=".48pt"/>
            <v:line id="_x0000_s2079" style="position:absolute" from="10598,1416" to="10598,15358" strokeweight=".48pt"/>
            <v:line id="_x0000_s2078" style="position:absolute" from="10593,15362" to="10603,15362" strokeweight=".48pt"/>
            <v:line id="_x0000_s2077" style="position:absolute" from="10593,15362" to="10603,15362" strokeweight=".48pt"/>
            <v:shape id="_x0000_s2076" type="#_x0000_t75" style="position:absolute;left:1447;top:1720;width:9247;height:687">
              <v:imagedata r:id="rId40" o:title=""/>
            </v:shape>
            <v:shape id="_x0000_s2075" type="#_x0000_t75" style="position:absolute;left:1447;top:3002;width:9247;height:921">
              <v:imagedata r:id="rId41" o:title=""/>
            </v:shape>
            <v:shape id="_x0000_s2074" type="#_x0000_t75" style="position:absolute;left:1447;top:4518;width:9247;height:653">
              <v:imagedata r:id="rId42" o:title=""/>
            </v:shape>
            <v:shape id="_x0000_s2073" type="#_x0000_t75" style="position:absolute;left:1447;top:6362;width:9247;height:921">
              <v:imagedata r:id="rId43" o:title=""/>
            </v:shape>
            <v:shape id="_x0000_s2072" type="#_x0000_t75" style="position:absolute;left:1447;top:7878;width:9247;height:921">
              <v:imagedata r:id="rId44" o:title=""/>
            </v:shape>
            <v:shape id="_x0000_s2071" type="#_x0000_t75" style="position:absolute;left:1447;top:9394;width:9247;height:1540">
              <v:imagedata r:id="rId45" o:title=""/>
            </v:shape>
            <v:shape id="_x0000_s2070" type="#_x0000_t75" style="position:absolute;left:1447;top:11237;width:9247;height:4119">
              <v:imagedata r:id="rId46" o:title=""/>
            </v:shape>
            <w10:wrap anchorx="page" anchory="page"/>
          </v:group>
        </w:pict>
      </w:r>
      <w:r w:rsidR="00E21E01">
        <w:rPr>
          <w:color w:val="211F1F"/>
        </w:rPr>
        <w:t>bb) Listede yer alan “ 705060”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E21E01">
      <w:pPr>
        <w:pStyle w:val="GvdeMetni"/>
        <w:spacing w:before="191"/>
        <w:ind w:left="536"/>
      </w:pPr>
      <w:r>
        <w:rPr>
          <w:color w:val="211F1F"/>
        </w:rPr>
        <w:t>cc) Listede yer alan “ 802755”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2"/>
        <w:rPr>
          <w:sz w:val="28"/>
        </w:rPr>
      </w:pPr>
    </w:p>
    <w:p w:rsidR="006033FD" w:rsidRDefault="00E21E01">
      <w:pPr>
        <w:pStyle w:val="GvdeMetni"/>
        <w:spacing w:before="41"/>
        <w:ind w:left="476"/>
      </w:pPr>
      <w:r>
        <w:rPr>
          <w:color w:val="211F1F"/>
        </w:rPr>
        <w:t>çç) Listede yer alan “ 909340” SUT kodlu işlem satırı aşağıdaki şekilde 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9"/>
        <w:rPr>
          <w:sz w:val="28"/>
        </w:rPr>
      </w:pPr>
    </w:p>
    <w:p w:rsidR="006033FD" w:rsidRDefault="00E21E01">
      <w:pPr>
        <w:pStyle w:val="Heading1"/>
        <w:spacing w:before="42"/>
      </w:pPr>
      <w:r>
        <w:t>EK-2/C - Tanıya Dayalı ĠĢlem Puan Listesi</w:t>
      </w:r>
    </w:p>
    <w:p w:rsidR="006033FD" w:rsidRDefault="006033FD">
      <w:pPr>
        <w:pStyle w:val="GvdeMetni"/>
        <w:spacing w:before="8"/>
        <w:rPr>
          <w:b/>
          <w:sz w:val="19"/>
        </w:rPr>
      </w:pPr>
    </w:p>
    <w:p w:rsidR="006033FD" w:rsidRDefault="00E21E01">
      <w:pPr>
        <w:pStyle w:val="ListeParagraf"/>
        <w:numPr>
          <w:ilvl w:val="0"/>
          <w:numId w:val="2"/>
        </w:numPr>
        <w:tabs>
          <w:tab w:val="left" w:pos="957"/>
        </w:tabs>
      </w:pPr>
      <w:r>
        <w:t>Listede yer alan “ P607910” SUT kodlu işlem satırı aşağıdaki şekilde</w:t>
      </w:r>
      <w:r>
        <w:rPr>
          <w:spacing w:val="-29"/>
        </w:rPr>
        <w:t xml:space="preserve"> </w:t>
      </w:r>
      <w: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9"/>
        <w:rPr>
          <w:sz w:val="28"/>
        </w:rPr>
      </w:pPr>
    </w:p>
    <w:p w:rsidR="006033FD" w:rsidRDefault="00E21E01">
      <w:pPr>
        <w:pStyle w:val="ListeParagraf"/>
        <w:numPr>
          <w:ilvl w:val="0"/>
          <w:numId w:val="2"/>
        </w:numPr>
        <w:tabs>
          <w:tab w:val="left" w:pos="957"/>
        </w:tabs>
      </w:pPr>
      <w:r>
        <w:t>Listede yer alan “ P613980” S</w:t>
      </w:r>
      <w:r>
        <w:t>UT kodlu işlem satırı aşağıdaki şekilde</w:t>
      </w:r>
      <w:r>
        <w:rPr>
          <w:spacing w:val="-32"/>
        </w:rPr>
        <w:t xml:space="preserve"> </w:t>
      </w:r>
      <w: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12"/>
        <w:rPr>
          <w:sz w:val="28"/>
        </w:rPr>
      </w:pPr>
    </w:p>
    <w:p w:rsidR="006033FD" w:rsidRDefault="00E21E01">
      <w:pPr>
        <w:pStyle w:val="ListeParagraf"/>
        <w:numPr>
          <w:ilvl w:val="0"/>
          <w:numId w:val="2"/>
        </w:numPr>
        <w:tabs>
          <w:tab w:val="left" w:pos="957"/>
        </w:tabs>
      </w:pPr>
      <w:r>
        <w:t>Listede yer alan “ P614040” SUT kodlu işlem satırı aşağıdaki şekilde</w:t>
      </w:r>
      <w:r>
        <w:rPr>
          <w:spacing w:val="-29"/>
        </w:rPr>
        <w:t xml:space="preserve"> </w:t>
      </w:r>
      <w:r>
        <w:t>değiştirilmiştir.</w:t>
      </w: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rPr>
          <w:sz w:val="20"/>
        </w:rPr>
      </w:pPr>
    </w:p>
    <w:p w:rsidR="006033FD" w:rsidRDefault="006033FD">
      <w:pPr>
        <w:pStyle w:val="GvdeMetni"/>
        <w:spacing w:before="7"/>
        <w:rPr>
          <w:sz w:val="16"/>
        </w:rPr>
      </w:pPr>
    </w:p>
    <w:p w:rsidR="006033FD" w:rsidRDefault="00E21E01">
      <w:pPr>
        <w:pStyle w:val="GvdeMetni"/>
        <w:ind w:left="596"/>
      </w:pPr>
      <w:r>
        <w:t>ç) Listede yer alan “ P704210” SUT kodlu işlem satırı aşağıdaki şekilde değiştirilmiştir.</w:t>
      </w:r>
    </w:p>
    <w:p w:rsidR="006033FD" w:rsidRDefault="006033FD">
      <w:pPr>
        <w:sectPr w:rsidR="006033FD">
          <w:pgSz w:w="11910" w:h="16840"/>
          <w:pgMar w:top="1380" w:right="1100" w:bottom="1200" w:left="1180" w:header="0" w:footer="942" w:gutter="0"/>
          <w:cols w:space="708"/>
        </w:sectPr>
      </w:pPr>
    </w:p>
    <w:p w:rsidR="006033FD" w:rsidRDefault="006033FD">
      <w:pPr>
        <w:pStyle w:val="GvdeMetni"/>
        <w:ind w:left="118"/>
        <w:rPr>
          <w:sz w:val="20"/>
        </w:rPr>
      </w:pPr>
      <w:r w:rsidRPr="006033FD">
        <w:rPr>
          <w:sz w:val="20"/>
        </w:rPr>
      </w:r>
      <w:r>
        <w:rPr>
          <w:sz w:val="20"/>
        </w:rPr>
        <w:pict>
          <v:group id="_x0000_s2050" style="width:469.8pt;height:450.6pt;mso-position-horizontal-relative:char;mso-position-vertical-relative:line" coordsize="9396,9012">
            <v:line id="_x0000_s2068" style="position:absolute" from="15,10" to="9294,10" strokeweight=".48pt"/>
            <v:line id="_x0000_s2067" style="position:absolute" from="15,2691" to="9294,2691" strokeweight=".48pt"/>
            <v:line id="_x0000_s2066" style="position:absolute" from="15,5406" to="9294,5406" strokeweight=".48pt"/>
            <v:line id="_x0000_s2065" style="position:absolute" from="15,7826" to="9294,7826" strokeweight=".48pt"/>
            <v:line id="_x0000_s2064" style="position:absolute" from="10,5" to="10,9002" strokeweight=".48pt"/>
            <v:line id="_x0000_s2063" style="position:absolute" from="5,9006" to="15,9006" strokeweight=".48pt"/>
            <v:line id="_x0000_s2062" style="position:absolute" from="5,9006" to="15,9006" strokeweight=".48pt"/>
            <v:line id="_x0000_s2061" style="position:absolute" from="15,9006" to="9294,9006" strokeweight=".48pt"/>
            <v:line id="_x0000_s2060" style="position:absolute" from="9299,5" to="9299,9002" strokeweight=".48pt"/>
            <v:line id="_x0000_s2059" style="position:absolute" from="9295,9006" to="9304,9006" strokeweight=".48pt"/>
            <v:line id="_x0000_s2058" style="position:absolute" from="9295,9006" to="9304,9006" strokeweight=".48pt"/>
            <v:shape id="_x0000_s2057" type="#_x0000_t75" style="position:absolute;left:148;top:309;width:9247;height:2377">
              <v:imagedata r:id="rId47" o:title=""/>
            </v:shape>
            <v:shape id="_x0000_s2056" type="#_x0000_t75" style="position:absolute;left:148;top:2989;width:9247;height:2411">
              <v:imagedata r:id="rId48" o:title=""/>
            </v:shape>
            <v:shape id="_x0000_s2055" type="#_x0000_t75" style="position:absolute;left:148;top:5703;width:9247;height:1825">
              <v:imagedata r:id="rId49" o:title=""/>
            </v:shape>
            <v:shape id="_x0000_s2054" type="#_x0000_t202" style="position:absolute;left:10;top:10;width:9290;height:2682" filled="f" stroked="f">
              <v:textbox inset="0,0,0,0">
                <w:txbxContent>
                  <w:p w:rsidR="006033FD" w:rsidRDefault="00E21E01">
                    <w:pPr>
                      <w:spacing w:before="3"/>
                      <w:ind w:left="467"/>
                    </w:pPr>
                    <w:r>
                      <w:t>d)  Listede yer alan “ P704230” SUT kodlu işlem satırı aşağıdaki şekilde değiştirilmiştir.</w:t>
                    </w:r>
                  </w:p>
                </w:txbxContent>
              </v:textbox>
            </v:shape>
            <v:shape id="_x0000_s2053" type="#_x0000_t202" style="position:absolute;left:10;top:2691;width:9290;height:2715" filled="f" stroked="f">
              <v:textbox inset="0,0,0,0">
                <w:txbxContent>
                  <w:p w:rsidR="006033FD" w:rsidRDefault="00E21E01">
                    <w:pPr>
                      <w:spacing w:before="2"/>
                      <w:ind w:left="467"/>
                    </w:pPr>
                    <w:r>
                      <w:t>e)   Listede yer alan “ P704233” SUT kodlu işlem satırı aşağıdaki şekilde değiştirilmiştir.</w:t>
                    </w:r>
                  </w:p>
                </w:txbxContent>
              </v:textbox>
            </v:shape>
            <v:shape id="_x0000_s2052" type="#_x0000_t202" style="position:absolute;left:10;top:5406;width:9290;height:2420" filled="f" stroked="f">
              <v:textbox inset="0,0,0,0">
                <w:txbxContent>
                  <w:p w:rsidR="006033FD" w:rsidRDefault="00E21E01">
                    <w:pPr>
                      <w:tabs>
                        <w:tab w:val="left" w:pos="827"/>
                      </w:tabs>
                      <w:ind w:left="467"/>
                    </w:pPr>
                    <w:r>
                      <w:t>f)</w:t>
                    </w:r>
                    <w:r>
                      <w:tab/>
                      <w:t>Listede yer alan “P704234” S</w:t>
                    </w:r>
                    <w:r>
                      <w:t>UT kodlu işlem satırı aşağıdaki şekilde</w:t>
                    </w:r>
                    <w:r>
                      <w:rPr>
                        <w:spacing w:val="-20"/>
                      </w:rPr>
                      <w:t xml:space="preserve"> </w:t>
                    </w:r>
                    <w:r>
                      <w:t>değiştirilmiştir.</w:t>
                    </w:r>
                  </w:p>
                </w:txbxContent>
              </v:textbox>
            </v:shape>
            <v:shape id="_x0000_s2051" type="#_x0000_t202" style="position:absolute;left:10;top:7826;width:9290;height:1181" filled="f" stroked="f">
              <v:textbox inset="0,0,0,0">
                <w:txbxContent>
                  <w:p w:rsidR="006033FD" w:rsidRDefault="00E21E01">
                    <w:pPr>
                      <w:spacing w:before="2" w:line="477" w:lineRule="auto"/>
                      <w:ind w:left="107" w:right="2473"/>
                      <w:rPr>
                        <w:b/>
                      </w:rPr>
                    </w:pPr>
                    <w:r>
                      <w:rPr>
                        <w:b/>
                      </w:rPr>
                      <w:t>EK-1/D</w:t>
                    </w:r>
                    <w:r>
                      <w:rPr>
                        <w:b/>
                      </w:rPr>
                      <w:t xml:space="preserve"> </w:t>
                    </w:r>
                    <w:r>
                      <w:rPr>
                        <w:b/>
                      </w:rPr>
                      <w:t>–</w:t>
                    </w:r>
                    <w:r>
                      <w:rPr>
                        <w:b/>
                      </w:rPr>
                      <w:t xml:space="preserve"> </w:t>
                    </w:r>
                    <w:r>
                      <w:rPr>
                        <w:b/>
                      </w:rPr>
                      <w:t>Acil</w:t>
                    </w:r>
                    <w:r>
                      <w:rPr>
                        <w:b/>
                      </w:rPr>
                      <w:t xml:space="preserve"> </w:t>
                    </w:r>
                    <w:r>
                      <w:rPr>
                        <w:b/>
                      </w:rPr>
                      <w:t>Halin</w:t>
                    </w:r>
                    <w:r>
                      <w:rPr>
                        <w:b/>
                      </w:rPr>
                      <w:t xml:space="preserve"> </w:t>
                    </w:r>
                    <w:r>
                      <w:rPr>
                        <w:b/>
                      </w:rPr>
                      <w:t>Sona</w:t>
                    </w:r>
                    <w:r>
                      <w:rPr>
                        <w:b/>
                      </w:rPr>
                      <w:t xml:space="preserve"> </w:t>
                    </w:r>
                    <w:r>
                      <w:rPr>
                        <w:b/>
                      </w:rPr>
                      <w:t>Ermesine</w:t>
                    </w:r>
                    <w:r>
                      <w:rPr>
                        <w:b/>
                      </w:rPr>
                      <w:t xml:space="preserve"> </w:t>
                    </w:r>
                    <w:r>
                      <w:rPr>
                        <w:b/>
                        <w:w w:val="44"/>
                      </w:rPr>
                      <w:t>Ġ</w:t>
                    </w:r>
                    <w:r>
                      <w:rPr>
                        <w:b/>
                        <w:w w:val="79"/>
                      </w:rPr>
                      <w:t>liĢ</w:t>
                    </w:r>
                    <w:r>
                      <w:rPr>
                        <w:b/>
                      </w:rPr>
                      <w:t>kin</w:t>
                    </w:r>
                    <w:r>
                      <w:rPr>
                        <w:b/>
                      </w:rPr>
                      <w:t xml:space="preserve"> </w:t>
                    </w:r>
                    <w:r>
                      <w:rPr>
                        <w:b/>
                      </w:rPr>
                      <w:t>Bilgi</w:t>
                    </w:r>
                    <w:r>
                      <w:rPr>
                        <w:b/>
                      </w:rPr>
                      <w:t xml:space="preserve"> </w:t>
                    </w:r>
                    <w:r>
                      <w:rPr>
                        <w:b/>
                      </w:rPr>
                      <w:t xml:space="preserve">Formu </w:t>
                    </w:r>
                    <w:r>
                      <w:rPr>
                        <w:b/>
                        <w:color w:val="FF0000"/>
                      </w:rPr>
                      <w:t>KALDIRILDI.</w:t>
                    </w:r>
                  </w:p>
                </w:txbxContent>
              </v:textbox>
            </v:shape>
            <w10:wrap type="none"/>
            <w10:anchorlock/>
          </v:group>
        </w:pict>
      </w:r>
    </w:p>
    <w:p w:rsidR="006033FD" w:rsidRDefault="00E21E01">
      <w:pPr>
        <w:pStyle w:val="Heading1"/>
        <w:spacing w:before="0" w:line="254" w:lineRule="exact"/>
      </w:pPr>
      <w:r>
        <w:rPr>
          <w:color w:val="211F1F"/>
        </w:rPr>
        <w:t>Bu Tebliğin;</w:t>
      </w:r>
    </w:p>
    <w:p w:rsidR="006033FD" w:rsidRDefault="00E21E01">
      <w:pPr>
        <w:pStyle w:val="ListeParagraf"/>
        <w:numPr>
          <w:ilvl w:val="0"/>
          <w:numId w:val="1"/>
        </w:numPr>
        <w:tabs>
          <w:tab w:val="left" w:pos="499"/>
        </w:tabs>
        <w:spacing w:before="67"/>
        <w:ind w:firstLine="0"/>
      </w:pPr>
      <w:r>
        <w:t>15 inci maddesi yayımı tarihinden 2 işgünü</w:t>
      </w:r>
      <w:r>
        <w:rPr>
          <w:spacing w:val="-14"/>
        </w:rPr>
        <w:t xml:space="preserve"> </w:t>
      </w:r>
      <w:r>
        <w:t>sonra,</w:t>
      </w:r>
    </w:p>
    <w:p w:rsidR="006033FD" w:rsidRDefault="00E21E01">
      <w:pPr>
        <w:pStyle w:val="ListeParagraf"/>
        <w:numPr>
          <w:ilvl w:val="0"/>
          <w:numId w:val="1"/>
        </w:numPr>
        <w:tabs>
          <w:tab w:val="left" w:pos="515"/>
        </w:tabs>
        <w:spacing w:before="62"/>
        <w:ind w:left="514" w:hanging="278"/>
      </w:pPr>
      <w:r>
        <w:t>16 ncı maddesi  29/6/2016 tarihinden geçerli olmak üzere yayımı</w:t>
      </w:r>
      <w:r>
        <w:rPr>
          <w:spacing w:val="-20"/>
        </w:rPr>
        <w:t xml:space="preserve"> </w:t>
      </w:r>
      <w:r>
        <w:t>tarihinde,</w:t>
      </w:r>
    </w:p>
    <w:p w:rsidR="006033FD" w:rsidRDefault="00E21E01">
      <w:pPr>
        <w:pStyle w:val="ListeParagraf"/>
        <w:numPr>
          <w:ilvl w:val="0"/>
          <w:numId w:val="1"/>
        </w:numPr>
        <w:tabs>
          <w:tab w:val="left" w:pos="484"/>
        </w:tabs>
        <w:spacing w:before="154"/>
        <w:ind w:left="483" w:hanging="247"/>
      </w:pPr>
      <w:r>
        <w:t>17 ve 18 inci maddeleri yayımı</w:t>
      </w:r>
      <w:r>
        <w:rPr>
          <w:spacing w:val="-7"/>
        </w:rPr>
        <w:t xml:space="preserve"> </w:t>
      </w:r>
      <w:r>
        <w:t>tarihinde,</w:t>
      </w:r>
    </w:p>
    <w:p w:rsidR="006033FD" w:rsidRDefault="00E21E01">
      <w:pPr>
        <w:pStyle w:val="GvdeMetni"/>
        <w:spacing w:before="89"/>
        <w:ind w:left="236"/>
      </w:pPr>
      <w:r>
        <w:rPr>
          <w:b/>
        </w:rPr>
        <w:t xml:space="preserve">ç) </w:t>
      </w:r>
      <w:r>
        <w:t>19 uncu maddesi 10/5/2016 tarihinden geçerli olmak üzere yayımı tarihinde,</w:t>
      </w:r>
    </w:p>
    <w:p w:rsidR="006033FD" w:rsidRDefault="00E21E01">
      <w:pPr>
        <w:pStyle w:val="ListeParagraf"/>
        <w:numPr>
          <w:ilvl w:val="0"/>
          <w:numId w:val="1"/>
        </w:numPr>
        <w:tabs>
          <w:tab w:val="left" w:pos="515"/>
        </w:tabs>
        <w:spacing w:before="91"/>
        <w:ind w:left="514" w:hanging="278"/>
      </w:pPr>
      <w:r>
        <w:t>26 ncı maddesi 20/7/2016 tarihinden geçerli olmak üzere yayımı</w:t>
      </w:r>
      <w:r>
        <w:rPr>
          <w:spacing w:val="-19"/>
        </w:rPr>
        <w:t xml:space="preserve"> </w:t>
      </w:r>
      <w:r>
        <w:t>tarihinde,</w:t>
      </w:r>
    </w:p>
    <w:p w:rsidR="006033FD" w:rsidRDefault="00E21E01">
      <w:pPr>
        <w:pStyle w:val="ListeParagraf"/>
        <w:numPr>
          <w:ilvl w:val="0"/>
          <w:numId w:val="1"/>
        </w:numPr>
        <w:tabs>
          <w:tab w:val="left" w:pos="535"/>
        </w:tabs>
        <w:spacing w:before="89" w:line="312" w:lineRule="auto"/>
        <w:ind w:right="892" w:firstLine="0"/>
      </w:pPr>
      <w:r>
        <w:t xml:space="preserve">9, </w:t>
      </w:r>
      <w:r>
        <w:rPr>
          <w:spacing w:val="-3"/>
        </w:rPr>
        <w:t xml:space="preserve">11, </w:t>
      </w:r>
      <w:r>
        <w:t>20, 23 üncü maddenin (c) ila (ş) bentleri ile (u) ila (aa) bentleri ve 24 üncü maddenin (ç) ila (f ) bentleri 24/7/2016 tarihinden geçerli olmak üzere yayımı</w:t>
      </w:r>
      <w:r>
        <w:rPr>
          <w:spacing w:val="-21"/>
        </w:rPr>
        <w:t xml:space="preserve"> </w:t>
      </w:r>
      <w:r>
        <w:t>tarihinde,</w:t>
      </w:r>
    </w:p>
    <w:p w:rsidR="006033FD" w:rsidRDefault="00E21E01">
      <w:pPr>
        <w:pStyle w:val="ListeParagraf"/>
        <w:numPr>
          <w:ilvl w:val="0"/>
          <w:numId w:val="1"/>
        </w:numPr>
        <w:tabs>
          <w:tab w:val="left" w:pos="463"/>
        </w:tabs>
        <w:spacing w:before="3"/>
        <w:ind w:left="462" w:hanging="226"/>
      </w:pPr>
      <w:r>
        <w:t>13 ve 25 inci maddeleri 1/8/2016 tarihinden geçerli olmak üzere yayımı</w:t>
      </w:r>
      <w:r>
        <w:rPr>
          <w:spacing w:val="-21"/>
        </w:rPr>
        <w:t xml:space="preserve"> </w:t>
      </w:r>
      <w:r>
        <w:t>tarihinde,</w:t>
      </w:r>
    </w:p>
    <w:p w:rsidR="006033FD" w:rsidRDefault="00E21E01">
      <w:pPr>
        <w:pStyle w:val="ListeParagraf"/>
        <w:numPr>
          <w:ilvl w:val="0"/>
          <w:numId w:val="1"/>
        </w:numPr>
        <w:tabs>
          <w:tab w:val="left" w:pos="568"/>
        </w:tabs>
        <w:spacing w:before="89" w:line="312" w:lineRule="auto"/>
        <w:ind w:right="383" w:firstLine="0"/>
      </w:pPr>
      <w:r>
        <w:t>1 ila</w:t>
      </w:r>
      <w:r>
        <w:t xml:space="preserve"> 8, 10, 14, 21, 22, 23 üncü maddenin (a), (b),(t) ,(bb),(cc), (çç) bentleri, 24 üncü maddenin (a) ila (c) bentleri  yayımı tarihinden 10 gün</w:t>
      </w:r>
      <w:r>
        <w:rPr>
          <w:spacing w:val="-8"/>
        </w:rPr>
        <w:t xml:space="preserve"> </w:t>
      </w:r>
      <w:r>
        <w:t>sonra,</w:t>
      </w:r>
    </w:p>
    <w:p w:rsidR="006033FD" w:rsidRDefault="00E21E01">
      <w:pPr>
        <w:pStyle w:val="GvdeMetni"/>
        <w:spacing w:before="1"/>
        <w:ind w:left="236"/>
      </w:pPr>
      <w:r>
        <w:rPr>
          <w:b/>
        </w:rPr>
        <w:t xml:space="preserve">ğ) </w:t>
      </w:r>
      <w:r>
        <w:t>12 nci maddesi 7/9/2016 tarihinde, yürürlüğe girer.</w:t>
      </w:r>
    </w:p>
    <w:sectPr w:rsidR="006033FD" w:rsidSect="006033FD">
      <w:pgSz w:w="11910" w:h="16840"/>
      <w:pgMar w:top="1400" w:right="1100" w:bottom="1200" w:left="1180" w:header="0" w:footer="942"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E01" w:rsidRDefault="00E21E01" w:rsidP="006033FD">
      <w:r>
        <w:separator/>
      </w:r>
    </w:p>
  </w:endnote>
  <w:endnote w:type="continuationSeparator" w:id="0">
    <w:p w:rsidR="00E21E01" w:rsidRDefault="00E21E01" w:rsidP="006033FD">
      <w:r>
        <w:continuationSeparator/>
      </w:r>
    </w:p>
  </w:endnote>
</w:endnotes>
</file>

<file path=word/fontTable.xml><?xml version="1.0" encoding="utf-8"?>
<w:fonts xmlns:r="http://schemas.openxmlformats.org/officeDocument/2006/relationships" xmlns:w="http://schemas.openxmlformats.org/wordprocessingml/2006/main">
  <w:font w:name="Segoe UI">
    <w:altName w:val="Segoe UI"/>
    <w:panose1 w:val="020B0502040204020203"/>
    <w:charset w:val="A2"/>
    <w:family w:val="swiss"/>
    <w:pitch w:val="variable"/>
    <w:sig w:usb0="E10022FF" w:usb1="C000E47F" w:usb2="00000029" w:usb3="00000000" w:csb0="000001D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3FD" w:rsidRDefault="006033FD">
    <w:pPr>
      <w:pStyle w:val="GvdeMetni"/>
      <w:spacing w:line="14" w:lineRule="auto"/>
      <w:rPr>
        <w:sz w:val="20"/>
      </w:rPr>
    </w:pPr>
    <w:r w:rsidRPr="006033FD">
      <w:pict>
        <v:shapetype id="_x0000_t202" coordsize="21600,21600" o:spt="202" path="m,l,21600r21600,l21600,xe">
          <v:stroke joinstyle="miter"/>
          <v:path gradientshapeok="t" o:connecttype="rect"/>
        </v:shapetype>
        <v:shape id="_x0000_s1027" type="#_x0000_t202" style="position:absolute;margin-left:517pt;margin-top:780.8pt;width:9.6pt;height:13.05pt;z-index:-20608;mso-position-horizontal-relative:page;mso-position-vertical-relative:page" filled="f" stroked="f">
          <v:textbox inset="0,0,0,0">
            <w:txbxContent>
              <w:p w:rsidR="006033FD" w:rsidRDefault="006033FD">
                <w:pPr>
                  <w:pStyle w:val="GvdeMetni"/>
                  <w:spacing w:line="245" w:lineRule="exact"/>
                  <w:ind w:left="40"/>
                  <w:rPr>
                    <w:rFonts w:ascii="Calibri"/>
                  </w:rPr>
                </w:pPr>
                <w:r>
                  <w:fldChar w:fldCharType="begin"/>
                </w:r>
                <w:r w:rsidR="00E21E01">
                  <w:rPr>
                    <w:rFonts w:ascii="Calibri"/>
                  </w:rPr>
                  <w:instrText xml:space="preserve"> PAGE </w:instrText>
                </w:r>
                <w:r>
                  <w:fldChar w:fldCharType="separate"/>
                </w:r>
                <w:r w:rsidR="00B84F38">
                  <w:rPr>
                    <w:rFonts w:ascii="Calibri"/>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3FD" w:rsidRDefault="006033FD">
    <w:pPr>
      <w:pStyle w:val="GvdeMetni"/>
      <w:spacing w:line="14" w:lineRule="auto"/>
      <w:rPr>
        <w:sz w:val="20"/>
      </w:rPr>
    </w:pPr>
    <w:r w:rsidRPr="006033FD">
      <w:pict>
        <v:shapetype id="_x0000_t202" coordsize="21600,21600" o:spt="202" path="m,l,21600r21600,l21600,xe">
          <v:stroke joinstyle="miter"/>
          <v:path gradientshapeok="t" o:connecttype="rect"/>
        </v:shapetype>
        <v:shape id="_x0000_s1026" type="#_x0000_t202" style="position:absolute;margin-left:512.35pt;margin-top:780.8pt;width:13.3pt;height:13.05pt;z-index:-20584;mso-position-horizontal-relative:page;mso-position-vertical-relative:page" filled="f" stroked="f">
          <v:textbox inset="0,0,0,0">
            <w:txbxContent>
              <w:p w:rsidR="006033FD" w:rsidRDefault="00E21E01">
                <w:pPr>
                  <w:pStyle w:val="GvdeMetni"/>
                  <w:spacing w:line="245" w:lineRule="exact"/>
                  <w:ind w:left="20"/>
                  <w:rPr>
                    <w:rFonts w:ascii="Calibri"/>
                  </w:rPr>
                </w:pPr>
                <w:r>
                  <w:rPr>
                    <w:rFonts w:ascii="Calibri"/>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3FD" w:rsidRDefault="006033FD">
    <w:pPr>
      <w:pStyle w:val="GvdeMetni"/>
      <w:spacing w:line="14" w:lineRule="auto"/>
      <w:rPr>
        <w:sz w:val="20"/>
      </w:rPr>
    </w:pPr>
    <w:r w:rsidRPr="006033FD">
      <w:pict>
        <v:shapetype id="_x0000_t202" coordsize="21600,21600" o:spt="202" path="m,l,21600r21600,l21600,xe">
          <v:stroke joinstyle="miter"/>
          <v:path gradientshapeok="t" o:connecttype="rect"/>
        </v:shapetype>
        <v:shape id="_x0000_s1025" type="#_x0000_t202" style="position:absolute;margin-left:511.35pt;margin-top:780.8pt;width:15.3pt;height:13.05pt;z-index:-20560;mso-position-horizontal-relative:page;mso-position-vertical-relative:page" filled="f" stroked="f">
          <v:textbox inset="0,0,0,0">
            <w:txbxContent>
              <w:p w:rsidR="006033FD" w:rsidRDefault="006033FD">
                <w:pPr>
                  <w:pStyle w:val="GvdeMetni"/>
                  <w:spacing w:line="245" w:lineRule="exact"/>
                  <w:ind w:left="40"/>
                  <w:rPr>
                    <w:rFonts w:ascii="Calibri"/>
                  </w:rPr>
                </w:pPr>
                <w:r>
                  <w:fldChar w:fldCharType="begin"/>
                </w:r>
                <w:r w:rsidR="00E21E01">
                  <w:rPr>
                    <w:rFonts w:ascii="Calibri"/>
                  </w:rPr>
                  <w:instrText xml:space="preserve"> PAGE </w:instrText>
                </w:r>
                <w:r>
                  <w:fldChar w:fldCharType="separate"/>
                </w:r>
                <w:r w:rsidR="00B84F38">
                  <w:rPr>
                    <w:rFonts w:ascii="Calibri"/>
                    <w:noProof/>
                  </w:rPr>
                  <w:t>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E01" w:rsidRDefault="00E21E01" w:rsidP="006033FD">
      <w:r>
        <w:separator/>
      </w:r>
    </w:p>
  </w:footnote>
  <w:footnote w:type="continuationSeparator" w:id="0">
    <w:p w:rsidR="00E21E01" w:rsidRDefault="00E21E01" w:rsidP="006033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26244"/>
    <w:multiLevelType w:val="hybridMultilevel"/>
    <w:tmpl w:val="09684A7C"/>
    <w:lvl w:ilvl="0" w:tplc="CA62B64C">
      <w:start w:val="1"/>
      <w:numFmt w:val="decimal"/>
      <w:lvlText w:val="(%1)"/>
      <w:lvlJc w:val="left"/>
      <w:pPr>
        <w:ind w:left="103" w:hanging="322"/>
        <w:jc w:val="left"/>
      </w:pPr>
      <w:rPr>
        <w:rFonts w:ascii="Segoe UI" w:eastAsia="Segoe UI" w:hAnsi="Segoe UI" w:cs="Segoe UI" w:hint="default"/>
        <w:w w:val="100"/>
        <w:sz w:val="22"/>
        <w:szCs w:val="22"/>
      </w:rPr>
    </w:lvl>
    <w:lvl w:ilvl="1" w:tplc="1D661290">
      <w:numFmt w:val="bullet"/>
      <w:lvlText w:val="•"/>
      <w:lvlJc w:val="left"/>
      <w:pPr>
        <w:ind w:left="525" w:hanging="322"/>
      </w:pPr>
      <w:rPr>
        <w:rFonts w:hint="default"/>
      </w:rPr>
    </w:lvl>
    <w:lvl w:ilvl="2" w:tplc="76D65102">
      <w:numFmt w:val="bullet"/>
      <w:lvlText w:val="•"/>
      <w:lvlJc w:val="left"/>
      <w:pPr>
        <w:ind w:left="951" w:hanging="322"/>
      </w:pPr>
      <w:rPr>
        <w:rFonts w:hint="default"/>
      </w:rPr>
    </w:lvl>
    <w:lvl w:ilvl="3" w:tplc="52225414">
      <w:numFmt w:val="bullet"/>
      <w:lvlText w:val="•"/>
      <w:lvlJc w:val="left"/>
      <w:pPr>
        <w:ind w:left="1376" w:hanging="322"/>
      </w:pPr>
      <w:rPr>
        <w:rFonts w:hint="default"/>
      </w:rPr>
    </w:lvl>
    <w:lvl w:ilvl="4" w:tplc="153AD4E4">
      <w:numFmt w:val="bullet"/>
      <w:lvlText w:val="•"/>
      <w:lvlJc w:val="left"/>
      <w:pPr>
        <w:ind w:left="1802" w:hanging="322"/>
      </w:pPr>
      <w:rPr>
        <w:rFonts w:hint="default"/>
      </w:rPr>
    </w:lvl>
    <w:lvl w:ilvl="5" w:tplc="D8B0931E">
      <w:numFmt w:val="bullet"/>
      <w:lvlText w:val="•"/>
      <w:lvlJc w:val="left"/>
      <w:pPr>
        <w:ind w:left="2228" w:hanging="322"/>
      </w:pPr>
      <w:rPr>
        <w:rFonts w:hint="default"/>
      </w:rPr>
    </w:lvl>
    <w:lvl w:ilvl="6" w:tplc="75E08106">
      <w:numFmt w:val="bullet"/>
      <w:lvlText w:val="•"/>
      <w:lvlJc w:val="left"/>
      <w:pPr>
        <w:ind w:left="2653" w:hanging="322"/>
      </w:pPr>
      <w:rPr>
        <w:rFonts w:hint="default"/>
      </w:rPr>
    </w:lvl>
    <w:lvl w:ilvl="7" w:tplc="321A687E">
      <w:numFmt w:val="bullet"/>
      <w:lvlText w:val="•"/>
      <w:lvlJc w:val="left"/>
      <w:pPr>
        <w:ind w:left="3079" w:hanging="322"/>
      </w:pPr>
      <w:rPr>
        <w:rFonts w:hint="default"/>
      </w:rPr>
    </w:lvl>
    <w:lvl w:ilvl="8" w:tplc="12B889F2">
      <w:numFmt w:val="bullet"/>
      <w:lvlText w:val="•"/>
      <w:lvlJc w:val="left"/>
      <w:pPr>
        <w:ind w:left="3505" w:hanging="322"/>
      </w:pPr>
      <w:rPr>
        <w:rFonts w:hint="default"/>
      </w:rPr>
    </w:lvl>
  </w:abstractNum>
  <w:abstractNum w:abstractNumId="1">
    <w:nsid w:val="1F262ABA"/>
    <w:multiLevelType w:val="hybridMultilevel"/>
    <w:tmpl w:val="C26053DE"/>
    <w:lvl w:ilvl="0" w:tplc="DA347DD8">
      <w:start w:val="1"/>
      <w:numFmt w:val="lowerLetter"/>
      <w:lvlText w:val="%1)"/>
      <w:lvlJc w:val="left"/>
      <w:pPr>
        <w:ind w:left="956" w:hanging="360"/>
        <w:jc w:val="left"/>
      </w:pPr>
      <w:rPr>
        <w:rFonts w:ascii="Segoe UI" w:eastAsia="Segoe UI" w:hAnsi="Segoe UI" w:cs="Segoe UI" w:hint="default"/>
        <w:w w:val="100"/>
        <w:sz w:val="22"/>
        <w:szCs w:val="22"/>
      </w:rPr>
    </w:lvl>
    <w:lvl w:ilvl="1" w:tplc="5E5ECC58">
      <w:numFmt w:val="bullet"/>
      <w:lvlText w:val="•"/>
      <w:lvlJc w:val="left"/>
      <w:pPr>
        <w:ind w:left="1826" w:hanging="360"/>
      </w:pPr>
      <w:rPr>
        <w:rFonts w:hint="default"/>
      </w:rPr>
    </w:lvl>
    <w:lvl w:ilvl="2" w:tplc="F5740992">
      <w:numFmt w:val="bullet"/>
      <w:lvlText w:val="•"/>
      <w:lvlJc w:val="left"/>
      <w:pPr>
        <w:ind w:left="2693" w:hanging="360"/>
      </w:pPr>
      <w:rPr>
        <w:rFonts w:hint="default"/>
      </w:rPr>
    </w:lvl>
    <w:lvl w:ilvl="3" w:tplc="8B06C732">
      <w:numFmt w:val="bullet"/>
      <w:lvlText w:val="•"/>
      <w:lvlJc w:val="left"/>
      <w:pPr>
        <w:ind w:left="3559" w:hanging="360"/>
      </w:pPr>
      <w:rPr>
        <w:rFonts w:hint="default"/>
      </w:rPr>
    </w:lvl>
    <w:lvl w:ilvl="4" w:tplc="6CBE0E10">
      <w:numFmt w:val="bullet"/>
      <w:lvlText w:val="•"/>
      <w:lvlJc w:val="left"/>
      <w:pPr>
        <w:ind w:left="4426" w:hanging="360"/>
      </w:pPr>
      <w:rPr>
        <w:rFonts w:hint="default"/>
      </w:rPr>
    </w:lvl>
    <w:lvl w:ilvl="5" w:tplc="E7F42E1A">
      <w:numFmt w:val="bullet"/>
      <w:lvlText w:val="•"/>
      <w:lvlJc w:val="left"/>
      <w:pPr>
        <w:ind w:left="5293" w:hanging="360"/>
      </w:pPr>
      <w:rPr>
        <w:rFonts w:hint="default"/>
      </w:rPr>
    </w:lvl>
    <w:lvl w:ilvl="6" w:tplc="265E621E">
      <w:numFmt w:val="bullet"/>
      <w:lvlText w:val="•"/>
      <w:lvlJc w:val="left"/>
      <w:pPr>
        <w:ind w:left="6159" w:hanging="360"/>
      </w:pPr>
      <w:rPr>
        <w:rFonts w:hint="default"/>
      </w:rPr>
    </w:lvl>
    <w:lvl w:ilvl="7" w:tplc="B7B64034">
      <w:numFmt w:val="bullet"/>
      <w:lvlText w:val="•"/>
      <w:lvlJc w:val="left"/>
      <w:pPr>
        <w:ind w:left="7026" w:hanging="360"/>
      </w:pPr>
      <w:rPr>
        <w:rFonts w:hint="default"/>
      </w:rPr>
    </w:lvl>
    <w:lvl w:ilvl="8" w:tplc="7722D7D2">
      <w:numFmt w:val="bullet"/>
      <w:lvlText w:val="•"/>
      <w:lvlJc w:val="left"/>
      <w:pPr>
        <w:ind w:left="7893" w:hanging="360"/>
      </w:pPr>
      <w:rPr>
        <w:rFonts w:hint="default"/>
      </w:rPr>
    </w:lvl>
  </w:abstractNum>
  <w:abstractNum w:abstractNumId="2">
    <w:nsid w:val="25FE3C95"/>
    <w:multiLevelType w:val="hybridMultilevel"/>
    <w:tmpl w:val="D06C6D96"/>
    <w:lvl w:ilvl="0" w:tplc="709EF0B4">
      <w:start w:val="25"/>
      <w:numFmt w:val="lowerLetter"/>
      <w:lvlText w:val="%1)"/>
      <w:lvlJc w:val="left"/>
      <w:pPr>
        <w:ind w:left="811" w:hanging="236"/>
        <w:jc w:val="left"/>
      </w:pPr>
      <w:rPr>
        <w:rFonts w:ascii="Segoe UI" w:eastAsia="Segoe UI" w:hAnsi="Segoe UI" w:cs="Segoe UI" w:hint="default"/>
        <w:color w:val="211F1F"/>
        <w:w w:val="100"/>
        <w:sz w:val="22"/>
        <w:szCs w:val="22"/>
      </w:rPr>
    </w:lvl>
    <w:lvl w:ilvl="1" w:tplc="E928313C">
      <w:numFmt w:val="bullet"/>
      <w:lvlText w:val="•"/>
      <w:lvlJc w:val="left"/>
      <w:pPr>
        <w:ind w:left="1698" w:hanging="236"/>
      </w:pPr>
      <w:rPr>
        <w:rFonts w:hint="default"/>
      </w:rPr>
    </w:lvl>
    <w:lvl w:ilvl="2" w:tplc="145E9720">
      <w:numFmt w:val="bullet"/>
      <w:lvlText w:val="•"/>
      <w:lvlJc w:val="left"/>
      <w:pPr>
        <w:ind w:left="2577" w:hanging="236"/>
      </w:pPr>
      <w:rPr>
        <w:rFonts w:hint="default"/>
      </w:rPr>
    </w:lvl>
    <w:lvl w:ilvl="3" w:tplc="3EC0DA98">
      <w:numFmt w:val="bullet"/>
      <w:lvlText w:val="•"/>
      <w:lvlJc w:val="left"/>
      <w:pPr>
        <w:ind w:left="3455" w:hanging="236"/>
      </w:pPr>
      <w:rPr>
        <w:rFonts w:hint="default"/>
      </w:rPr>
    </w:lvl>
    <w:lvl w:ilvl="4" w:tplc="934C598C">
      <w:numFmt w:val="bullet"/>
      <w:lvlText w:val="•"/>
      <w:lvlJc w:val="left"/>
      <w:pPr>
        <w:ind w:left="4334" w:hanging="236"/>
      </w:pPr>
      <w:rPr>
        <w:rFonts w:hint="default"/>
      </w:rPr>
    </w:lvl>
    <w:lvl w:ilvl="5" w:tplc="B05A0BA0">
      <w:numFmt w:val="bullet"/>
      <w:lvlText w:val="•"/>
      <w:lvlJc w:val="left"/>
      <w:pPr>
        <w:ind w:left="5213" w:hanging="236"/>
      </w:pPr>
      <w:rPr>
        <w:rFonts w:hint="default"/>
      </w:rPr>
    </w:lvl>
    <w:lvl w:ilvl="6" w:tplc="5F7C910C">
      <w:numFmt w:val="bullet"/>
      <w:lvlText w:val="•"/>
      <w:lvlJc w:val="left"/>
      <w:pPr>
        <w:ind w:left="6091" w:hanging="236"/>
      </w:pPr>
      <w:rPr>
        <w:rFonts w:hint="default"/>
      </w:rPr>
    </w:lvl>
    <w:lvl w:ilvl="7" w:tplc="FCECA020">
      <w:numFmt w:val="bullet"/>
      <w:lvlText w:val="•"/>
      <w:lvlJc w:val="left"/>
      <w:pPr>
        <w:ind w:left="6970" w:hanging="236"/>
      </w:pPr>
      <w:rPr>
        <w:rFonts w:hint="default"/>
      </w:rPr>
    </w:lvl>
    <w:lvl w:ilvl="8" w:tplc="9D1A990C">
      <w:numFmt w:val="bullet"/>
      <w:lvlText w:val="•"/>
      <w:lvlJc w:val="left"/>
      <w:pPr>
        <w:ind w:left="7849" w:hanging="236"/>
      </w:pPr>
      <w:rPr>
        <w:rFonts w:hint="default"/>
      </w:rPr>
    </w:lvl>
  </w:abstractNum>
  <w:abstractNum w:abstractNumId="3">
    <w:nsid w:val="26CE5944"/>
    <w:multiLevelType w:val="hybridMultilevel"/>
    <w:tmpl w:val="B6CEA79E"/>
    <w:lvl w:ilvl="0" w:tplc="DCB23762">
      <w:start w:val="1"/>
      <w:numFmt w:val="lowerLetter"/>
      <w:lvlText w:val="%1)"/>
      <w:lvlJc w:val="left"/>
      <w:pPr>
        <w:ind w:left="956" w:hanging="360"/>
        <w:jc w:val="left"/>
      </w:pPr>
      <w:rPr>
        <w:rFonts w:ascii="Segoe UI" w:eastAsia="Segoe UI" w:hAnsi="Segoe UI" w:cs="Segoe UI" w:hint="default"/>
        <w:color w:val="211F1F"/>
        <w:w w:val="100"/>
        <w:sz w:val="22"/>
        <w:szCs w:val="22"/>
      </w:rPr>
    </w:lvl>
    <w:lvl w:ilvl="1" w:tplc="125CBEAA">
      <w:numFmt w:val="bullet"/>
      <w:lvlText w:val="•"/>
      <w:lvlJc w:val="left"/>
      <w:pPr>
        <w:ind w:left="1826" w:hanging="360"/>
      </w:pPr>
      <w:rPr>
        <w:rFonts w:hint="default"/>
      </w:rPr>
    </w:lvl>
    <w:lvl w:ilvl="2" w:tplc="28409DCC">
      <w:numFmt w:val="bullet"/>
      <w:lvlText w:val="•"/>
      <w:lvlJc w:val="left"/>
      <w:pPr>
        <w:ind w:left="2693" w:hanging="360"/>
      </w:pPr>
      <w:rPr>
        <w:rFonts w:hint="default"/>
      </w:rPr>
    </w:lvl>
    <w:lvl w:ilvl="3" w:tplc="2E049864">
      <w:numFmt w:val="bullet"/>
      <w:lvlText w:val="•"/>
      <w:lvlJc w:val="left"/>
      <w:pPr>
        <w:ind w:left="3559" w:hanging="360"/>
      </w:pPr>
      <w:rPr>
        <w:rFonts w:hint="default"/>
      </w:rPr>
    </w:lvl>
    <w:lvl w:ilvl="4" w:tplc="BE1A6CCA">
      <w:numFmt w:val="bullet"/>
      <w:lvlText w:val="•"/>
      <w:lvlJc w:val="left"/>
      <w:pPr>
        <w:ind w:left="4426" w:hanging="360"/>
      </w:pPr>
      <w:rPr>
        <w:rFonts w:hint="default"/>
      </w:rPr>
    </w:lvl>
    <w:lvl w:ilvl="5" w:tplc="182CBFC4">
      <w:numFmt w:val="bullet"/>
      <w:lvlText w:val="•"/>
      <w:lvlJc w:val="left"/>
      <w:pPr>
        <w:ind w:left="5293" w:hanging="360"/>
      </w:pPr>
      <w:rPr>
        <w:rFonts w:hint="default"/>
      </w:rPr>
    </w:lvl>
    <w:lvl w:ilvl="6" w:tplc="3D22D0E8">
      <w:numFmt w:val="bullet"/>
      <w:lvlText w:val="•"/>
      <w:lvlJc w:val="left"/>
      <w:pPr>
        <w:ind w:left="6159" w:hanging="360"/>
      </w:pPr>
      <w:rPr>
        <w:rFonts w:hint="default"/>
      </w:rPr>
    </w:lvl>
    <w:lvl w:ilvl="7" w:tplc="CA303568">
      <w:numFmt w:val="bullet"/>
      <w:lvlText w:val="•"/>
      <w:lvlJc w:val="left"/>
      <w:pPr>
        <w:ind w:left="7026" w:hanging="360"/>
      </w:pPr>
      <w:rPr>
        <w:rFonts w:hint="default"/>
      </w:rPr>
    </w:lvl>
    <w:lvl w:ilvl="8" w:tplc="584249B0">
      <w:numFmt w:val="bullet"/>
      <w:lvlText w:val="•"/>
      <w:lvlJc w:val="left"/>
      <w:pPr>
        <w:ind w:left="7893" w:hanging="360"/>
      </w:pPr>
      <w:rPr>
        <w:rFonts w:hint="default"/>
      </w:rPr>
    </w:lvl>
  </w:abstractNum>
  <w:abstractNum w:abstractNumId="4">
    <w:nsid w:val="28B73ADC"/>
    <w:multiLevelType w:val="hybridMultilevel"/>
    <w:tmpl w:val="8618AE46"/>
    <w:lvl w:ilvl="0" w:tplc="4E36D750">
      <w:start w:val="1"/>
      <w:numFmt w:val="lowerLetter"/>
      <w:lvlText w:val="%1)"/>
      <w:lvlJc w:val="left"/>
      <w:pPr>
        <w:ind w:left="103" w:hanging="353"/>
        <w:jc w:val="left"/>
      </w:pPr>
      <w:rPr>
        <w:rFonts w:ascii="Segoe UI" w:eastAsia="Segoe UI" w:hAnsi="Segoe UI" w:cs="Segoe UI" w:hint="default"/>
        <w:w w:val="100"/>
        <w:sz w:val="22"/>
        <w:szCs w:val="22"/>
      </w:rPr>
    </w:lvl>
    <w:lvl w:ilvl="1" w:tplc="C51C4CD0">
      <w:start w:val="1"/>
      <w:numFmt w:val="decimal"/>
      <w:lvlText w:val="%2)"/>
      <w:lvlJc w:val="left"/>
      <w:pPr>
        <w:ind w:left="823" w:hanging="361"/>
        <w:jc w:val="right"/>
      </w:pPr>
      <w:rPr>
        <w:rFonts w:ascii="Segoe UI" w:eastAsia="Segoe UI" w:hAnsi="Segoe UI" w:cs="Segoe UI" w:hint="default"/>
        <w:w w:val="100"/>
        <w:sz w:val="22"/>
        <w:szCs w:val="22"/>
      </w:rPr>
    </w:lvl>
    <w:lvl w:ilvl="2" w:tplc="5A1E9DDC">
      <w:numFmt w:val="bullet"/>
      <w:lvlText w:val="•"/>
      <w:lvlJc w:val="left"/>
      <w:pPr>
        <w:ind w:left="1274" w:hanging="361"/>
      </w:pPr>
      <w:rPr>
        <w:rFonts w:hint="default"/>
      </w:rPr>
    </w:lvl>
    <w:lvl w:ilvl="3" w:tplc="7652BDC4">
      <w:numFmt w:val="bullet"/>
      <w:lvlText w:val="•"/>
      <w:lvlJc w:val="left"/>
      <w:pPr>
        <w:ind w:left="1729" w:hanging="361"/>
      </w:pPr>
      <w:rPr>
        <w:rFonts w:hint="default"/>
      </w:rPr>
    </w:lvl>
    <w:lvl w:ilvl="4" w:tplc="9028D98C">
      <w:numFmt w:val="bullet"/>
      <w:lvlText w:val="•"/>
      <w:lvlJc w:val="left"/>
      <w:pPr>
        <w:ind w:left="2184" w:hanging="361"/>
      </w:pPr>
      <w:rPr>
        <w:rFonts w:hint="default"/>
      </w:rPr>
    </w:lvl>
    <w:lvl w:ilvl="5" w:tplc="91F03046">
      <w:numFmt w:val="bullet"/>
      <w:lvlText w:val="•"/>
      <w:lvlJc w:val="left"/>
      <w:pPr>
        <w:ind w:left="2639" w:hanging="361"/>
      </w:pPr>
      <w:rPr>
        <w:rFonts w:hint="default"/>
      </w:rPr>
    </w:lvl>
    <w:lvl w:ilvl="6" w:tplc="7B726098">
      <w:numFmt w:val="bullet"/>
      <w:lvlText w:val="•"/>
      <w:lvlJc w:val="left"/>
      <w:pPr>
        <w:ind w:left="3094" w:hanging="361"/>
      </w:pPr>
      <w:rPr>
        <w:rFonts w:hint="default"/>
      </w:rPr>
    </w:lvl>
    <w:lvl w:ilvl="7" w:tplc="424AA5DA">
      <w:numFmt w:val="bullet"/>
      <w:lvlText w:val="•"/>
      <w:lvlJc w:val="left"/>
      <w:pPr>
        <w:ind w:left="3549" w:hanging="361"/>
      </w:pPr>
      <w:rPr>
        <w:rFonts w:hint="default"/>
      </w:rPr>
    </w:lvl>
    <w:lvl w:ilvl="8" w:tplc="25F0C25A">
      <w:numFmt w:val="bullet"/>
      <w:lvlText w:val="•"/>
      <w:lvlJc w:val="left"/>
      <w:pPr>
        <w:ind w:left="4004" w:hanging="361"/>
      </w:pPr>
      <w:rPr>
        <w:rFonts w:hint="default"/>
      </w:rPr>
    </w:lvl>
  </w:abstractNum>
  <w:abstractNum w:abstractNumId="5">
    <w:nsid w:val="4CE4108D"/>
    <w:multiLevelType w:val="hybridMultilevel"/>
    <w:tmpl w:val="52563952"/>
    <w:lvl w:ilvl="0" w:tplc="8A88FB50">
      <w:start w:val="1"/>
      <w:numFmt w:val="lowerLetter"/>
      <w:lvlText w:val="%1)"/>
      <w:lvlJc w:val="left"/>
      <w:pPr>
        <w:ind w:left="103" w:hanging="242"/>
        <w:jc w:val="left"/>
      </w:pPr>
      <w:rPr>
        <w:rFonts w:ascii="Segoe UI" w:eastAsia="Segoe UI" w:hAnsi="Segoe UI" w:cs="Segoe UI" w:hint="default"/>
        <w:w w:val="100"/>
        <w:sz w:val="22"/>
        <w:szCs w:val="22"/>
      </w:rPr>
    </w:lvl>
    <w:lvl w:ilvl="1" w:tplc="BA247FA8">
      <w:start w:val="1"/>
      <w:numFmt w:val="decimal"/>
      <w:lvlText w:val="%2)"/>
      <w:lvlJc w:val="left"/>
      <w:pPr>
        <w:ind w:left="103" w:hanging="286"/>
        <w:jc w:val="left"/>
      </w:pPr>
      <w:rPr>
        <w:rFonts w:ascii="Segoe UI" w:eastAsia="Segoe UI" w:hAnsi="Segoe UI" w:cs="Segoe UI" w:hint="default"/>
        <w:w w:val="100"/>
        <w:sz w:val="22"/>
        <w:szCs w:val="22"/>
      </w:rPr>
    </w:lvl>
    <w:lvl w:ilvl="2" w:tplc="F558EF80">
      <w:numFmt w:val="bullet"/>
      <w:lvlText w:val="•"/>
      <w:lvlJc w:val="left"/>
      <w:pPr>
        <w:ind w:left="951" w:hanging="286"/>
      </w:pPr>
      <w:rPr>
        <w:rFonts w:hint="default"/>
      </w:rPr>
    </w:lvl>
    <w:lvl w:ilvl="3" w:tplc="B44A2436">
      <w:numFmt w:val="bullet"/>
      <w:lvlText w:val="•"/>
      <w:lvlJc w:val="left"/>
      <w:pPr>
        <w:ind w:left="1376" w:hanging="286"/>
      </w:pPr>
      <w:rPr>
        <w:rFonts w:hint="default"/>
      </w:rPr>
    </w:lvl>
    <w:lvl w:ilvl="4" w:tplc="7F50A246">
      <w:numFmt w:val="bullet"/>
      <w:lvlText w:val="•"/>
      <w:lvlJc w:val="left"/>
      <w:pPr>
        <w:ind w:left="1802" w:hanging="286"/>
      </w:pPr>
      <w:rPr>
        <w:rFonts w:hint="default"/>
      </w:rPr>
    </w:lvl>
    <w:lvl w:ilvl="5" w:tplc="EA00A272">
      <w:numFmt w:val="bullet"/>
      <w:lvlText w:val="•"/>
      <w:lvlJc w:val="left"/>
      <w:pPr>
        <w:ind w:left="2228" w:hanging="286"/>
      </w:pPr>
      <w:rPr>
        <w:rFonts w:hint="default"/>
      </w:rPr>
    </w:lvl>
    <w:lvl w:ilvl="6" w:tplc="95E62206">
      <w:numFmt w:val="bullet"/>
      <w:lvlText w:val="•"/>
      <w:lvlJc w:val="left"/>
      <w:pPr>
        <w:ind w:left="2653" w:hanging="286"/>
      </w:pPr>
      <w:rPr>
        <w:rFonts w:hint="default"/>
      </w:rPr>
    </w:lvl>
    <w:lvl w:ilvl="7" w:tplc="C66EF396">
      <w:numFmt w:val="bullet"/>
      <w:lvlText w:val="•"/>
      <w:lvlJc w:val="left"/>
      <w:pPr>
        <w:ind w:left="3079" w:hanging="286"/>
      </w:pPr>
      <w:rPr>
        <w:rFonts w:hint="default"/>
      </w:rPr>
    </w:lvl>
    <w:lvl w:ilvl="8" w:tplc="5754B1E6">
      <w:numFmt w:val="bullet"/>
      <w:lvlText w:val="•"/>
      <w:lvlJc w:val="left"/>
      <w:pPr>
        <w:ind w:left="3505" w:hanging="286"/>
      </w:pPr>
      <w:rPr>
        <w:rFonts w:hint="default"/>
      </w:rPr>
    </w:lvl>
  </w:abstractNum>
  <w:abstractNum w:abstractNumId="6">
    <w:nsid w:val="53371922"/>
    <w:multiLevelType w:val="hybridMultilevel"/>
    <w:tmpl w:val="DC3EF650"/>
    <w:lvl w:ilvl="0" w:tplc="086EDC4C">
      <w:start w:val="1"/>
      <w:numFmt w:val="decimal"/>
      <w:lvlText w:val="(%1)"/>
      <w:lvlJc w:val="left"/>
      <w:pPr>
        <w:ind w:left="103" w:hanging="336"/>
        <w:jc w:val="left"/>
      </w:pPr>
      <w:rPr>
        <w:rFonts w:ascii="Segoe UI" w:eastAsia="Segoe UI" w:hAnsi="Segoe UI" w:cs="Segoe UI" w:hint="default"/>
        <w:w w:val="100"/>
        <w:sz w:val="22"/>
        <w:szCs w:val="22"/>
      </w:rPr>
    </w:lvl>
    <w:lvl w:ilvl="1" w:tplc="D8747126">
      <w:numFmt w:val="bullet"/>
      <w:lvlText w:val="•"/>
      <w:lvlJc w:val="left"/>
      <w:pPr>
        <w:ind w:left="581" w:hanging="336"/>
      </w:pPr>
      <w:rPr>
        <w:rFonts w:hint="default"/>
      </w:rPr>
    </w:lvl>
    <w:lvl w:ilvl="2" w:tplc="1E7E1EFE">
      <w:numFmt w:val="bullet"/>
      <w:lvlText w:val="•"/>
      <w:lvlJc w:val="left"/>
      <w:pPr>
        <w:ind w:left="1062" w:hanging="336"/>
      </w:pPr>
      <w:rPr>
        <w:rFonts w:hint="default"/>
      </w:rPr>
    </w:lvl>
    <w:lvl w:ilvl="3" w:tplc="71041238">
      <w:numFmt w:val="bullet"/>
      <w:lvlText w:val="•"/>
      <w:lvlJc w:val="left"/>
      <w:pPr>
        <w:ind w:left="1544" w:hanging="336"/>
      </w:pPr>
      <w:rPr>
        <w:rFonts w:hint="default"/>
      </w:rPr>
    </w:lvl>
    <w:lvl w:ilvl="4" w:tplc="75D26C68">
      <w:numFmt w:val="bullet"/>
      <w:lvlText w:val="•"/>
      <w:lvlJc w:val="left"/>
      <w:pPr>
        <w:ind w:left="2025" w:hanging="336"/>
      </w:pPr>
      <w:rPr>
        <w:rFonts w:hint="default"/>
      </w:rPr>
    </w:lvl>
    <w:lvl w:ilvl="5" w:tplc="698A574C">
      <w:numFmt w:val="bullet"/>
      <w:lvlText w:val="•"/>
      <w:lvlJc w:val="left"/>
      <w:pPr>
        <w:ind w:left="2506" w:hanging="336"/>
      </w:pPr>
      <w:rPr>
        <w:rFonts w:hint="default"/>
      </w:rPr>
    </w:lvl>
    <w:lvl w:ilvl="6" w:tplc="67C09C20">
      <w:numFmt w:val="bullet"/>
      <w:lvlText w:val="•"/>
      <w:lvlJc w:val="left"/>
      <w:pPr>
        <w:ind w:left="2988" w:hanging="336"/>
      </w:pPr>
      <w:rPr>
        <w:rFonts w:hint="default"/>
      </w:rPr>
    </w:lvl>
    <w:lvl w:ilvl="7" w:tplc="F970E4C0">
      <w:numFmt w:val="bullet"/>
      <w:lvlText w:val="•"/>
      <w:lvlJc w:val="left"/>
      <w:pPr>
        <w:ind w:left="3469" w:hanging="336"/>
      </w:pPr>
      <w:rPr>
        <w:rFonts w:hint="default"/>
      </w:rPr>
    </w:lvl>
    <w:lvl w:ilvl="8" w:tplc="525A9A66">
      <w:numFmt w:val="bullet"/>
      <w:lvlText w:val="•"/>
      <w:lvlJc w:val="left"/>
      <w:pPr>
        <w:ind w:left="3951" w:hanging="336"/>
      </w:pPr>
      <w:rPr>
        <w:rFonts w:hint="default"/>
      </w:rPr>
    </w:lvl>
  </w:abstractNum>
  <w:abstractNum w:abstractNumId="7">
    <w:nsid w:val="5BEC23A6"/>
    <w:multiLevelType w:val="hybridMultilevel"/>
    <w:tmpl w:val="98C426DA"/>
    <w:lvl w:ilvl="0" w:tplc="BC14CB8C">
      <w:start w:val="1"/>
      <w:numFmt w:val="decimal"/>
      <w:lvlText w:val="(%1)"/>
      <w:lvlJc w:val="left"/>
      <w:pPr>
        <w:ind w:left="103" w:hanging="386"/>
        <w:jc w:val="left"/>
      </w:pPr>
      <w:rPr>
        <w:rFonts w:ascii="Segoe UI" w:eastAsia="Segoe UI" w:hAnsi="Segoe UI" w:cs="Segoe UI" w:hint="default"/>
        <w:w w:val="100"/>
        <w:sz w:val="22"/>
        <w:szCs w:val="22"/>
      </w:rPr>
    </w:lvl>
    <w:lvl w:ilvl="1" w:tplc="307681F2">
      <w:numFmt w:val="bullet"/>
      <w:lvlText w:val="•"/>
      <w:lvlJc w:val="left"/>
      <w:pPr>
        <w:ind w:left="525" w:hanging="386"/>
      </w:pPr>
      <w:rPr>
        <w:rFonts w:hint="default"/>
      </w:rPr>
    </w:lvl>
    <w:lvl w:ilvl="2" w:tplc="AFE6B832">
      <w:numFmt w:val="bullet"/>
      <w:lvlText w:val="•"/>
      <w:lvlJc w:val="left"/>
      <w:pPr>
        <w:ind w:left="951" w:hanging="386"/>
      </w:pPr>
      <w:rPr>
        <w:rFonts w:hint="default"/>
      </w:rPr>
    </w:lvl>
    <w:lvl w:ilvl="3" w:tplc="F7AAB6FE">
      <w:numFmt w:val="bullet"/>
      <w:lvlText w:val="•"/>
      <w:lvlJc w:val="left"/>
      <w:pPr>
        <w:ind w:left="1376" w:hanging="386"/>
      </w:pPr>
      <w:rPr>
        <w:rFonts w:hint="default"/>
      </w:rPr>
    </w:lvl>
    <w:lvl w:ilvl="4" w:tplc="D8CA4D3C">
      <w:numFmt w:val="bullet"/>
      <w:lvlText w:val="•"/>
      <w:lvlJc w:val="left"/>
      <w:pPr>
        <w:ind w:left="1802" w:hanging="386"/>
      </w:pPr>
      <w:rPr>
        <w:rFonts w:hint="default"/>
      </w:rPr>
    </w:lvl>
    <w:lvl w:ilvl="5" w:tplc="7C80A756">
      <w:numFmt w:val="bullet"/>
      <w:lvlText w:val="•"/>
      <w:lvlJc w:val="left"/>
      <w:pPr>
        <w:ind w:left="2228" w:hanging="386"/>
      </w:pPr>
      <w:rPr>
        <w:rFonts w:hint="default"/>
      </w:rPr>
    </w:lvl>
    <w:lvl w:ilvl="6" w:tplc="219252DA">
      <w:numFmt w:val="bullet"/>
      <w:lvlText w:val="•"/>
      <w:lvlJc w:val="left"/>
      <w:pPr>
        <w:ind w:left="2653" w:hanging="386"/>
      </w:pPr>
      <w:rPr>
        <w:rFonts w:hint="default"/>
      </w:rPr>
    </w:lvl>
    <w:lvl w:ilvl="7" w:tplc="DD28E17E">
      <w:numFmt w:val="bullet"/>
      <w:lvlText w:val="•"/>
      <w:lvlJc w:val="left"/>
      <w:pPr>
        <w:ind w:left="3079" w:hanging="386"/>
      </w:pPr>
      <w:rPr>
        <w:rFonts w:hint="default"/>
      </w:rPr>
    </w:lvl>
    <w:lvl w:ilvl="8" w:tplc="4CE2CC54">
      <w:numFmt w:val="bullet"/>
      <w:lvlText w:val="•"/>
      <w:lvlJc w:val="left"/>
      <w:pPr>
        <w:ind w:left="3505" w:hanging="386"/>
      </w:pPr>
      <w:rPr>
        <w:rFonts w:hint="default"/>
      </w:rPr>
    </w:lvl>
  </w:abstractNum>
  <w:abstractNum w:abstractNumId="8">
    <w:nsid w:val="6B5617BD"/>
    <w:multiLevelType w:val="hybridMultilevel"/>
    <w:tmpl w:val="B456F8EE"/>
    <w:lvl w:ilvl="0" w:tplc="60DC7740">
      <w:start w:val="18"/>
      <w:numFmt w:val="lowerLetter"/>
      <w:lvlText w:val="%1)"/>
      <w:lvlJc w:val="left"/>
      <w:pPr>
        <w:ind w:left="956" w:hanging="360"/>
        <w:jc w:val="left"/>
      </w:pPr>
      <w:rPr>
        <w:rFonts w:ascii="Segoe UI" w:eastAsia="Segoe UI" w:hAnsi="Segoe UI" w:cs="Segoe UI" w:hint="default"/>
        <w:color w:val="211F1F"/>
        <w:w w:val="100"/>
        <w:sz w:val="22"/>
        <w:szCs w:val="22"/>
      </w:rPr>
    </w:lvl>
    <w:lvl w:ilvl="1" w:tplc="51E2BCDE">
      <w:numFmt w:val="bullet"/>
      <w:lvlText w:val="•"/>
      <w:lvlJc w:val="left"/>
      <w:pPr>
        <w:ind w:left="1826" w:hanging="360"/>
      </w:pPr>
      <w:rPr>
        <w:rFonts w:hint="default"/>
      </w:rPr>
    </w:lvl>
    <w:lvl w:ilvl="2" w:tplc="196EE01E">
      <w:numFmt w:val="bullet"/>
      <w:lvlText w:val="•"/>
      <w:lvlJc w:val="left"/>
      <w:pPr>
        <w:ind w:left="2693" w:hanging="360"/>
      </w:pPr>
      <w:rPr>
        <w:rFonts w:hint="default"/>
      </w:rPr>
    </w:lvl>
    <w:lvl w:ilvl="3" w:tplc="8572C7F4">
      <w:numFmt w:val="bullet"/>
      <w:lvlText w:val="•"/>
      <w:lvlJc w:val="left"/>
      <w:pPr>
        <w:ind w:left="3559" w:hanging="360"/>
      </w:pPr>
      <w:rPr>
        <w:rFonts w:hint="default"/>
      </w:rPr>
    </w:lvl>
    <w:lvl w:ilvl="4" w:tplc="98C2F6D6">
      <w:numFmt w:val="bullet"/>
      <w:lvlText w:val="•"/>
      <w:lvlJc w:val="left"/>
      <w:pPr>
        <w:ind w:left="4426" w:hanging="360"/>
      </w:pPr>
      <w:rPr>
        <w:rFonts w:hint="default"/>
      </w:rPr>
    </w:lvl>
    <w:lvl w:ilvl="5" w:tplc="1346E802">
      <w:numFmt w:val="bullet"/>
      <w:lvlText w:val="•"/>
      <w:lvlJc w:val="left"/>
      <w:pPr>
        <w:ind w:left="5293" w:hanging="360"/>
      </w:pPr>
      <w:rPr>
        <w:rFonts w:hint="default"/>
      </w:rPr>
    </w:lvl>
    <w:lvl w:ilvl="6" w:tplc="4F6EACBC">
      <w:numFmt w:val="bullet"/>
      <w:lvlText w:val="•"/>
      <w:lvlJc w:val="left"/>
      <w:pPr>
        <w:ind w:left="6159" w:hanging="360"/>
      </w:pPr>
      <w:rPr>
        <w:rFonts w:hint="default"/>
      </w:rPr>
    </w:lvl>
    <w:lvl w:ilvl="7" w:tplc="42B6A258">
      <w:numFmt w:val="bullet"/>
      <w:lvlText w:val="•"/>
      <w:lvlJc w:val="left"/>
      <w:pPr>
        <w:ind w:left="7026" w:hanging="360"/>
      </w:pPr>
      <w:rPr>
        <w:rFonts w:hint="default"/>
      </w:rPr>
    </w:lvl>
    <w:lvl w:ilvl="8" w:tplc="8A205F36">
      <w:numFmt w:val="bullet"/>
      <w:lvlText w:val="•"/>
      <w:lvlJc w:val="left"/>
      <w:pPr>
        <w:ind w:left="7893" w:hanging="360"/>
      </w:pPr>
      <w:rPr>
        <w:rFonts w:hint="default"/>
      </w:rPr>
    </w:lvl>
  </w:abstractNum>
  <w:abstractNum w:abstractNumId="9">
    <w:nsid w:val="793D5F5D"/>
    <w:multiLevelType w:val="hybridMultilevel"/>
    <w:tmpl w:val="7D245896"/>
    <w:lvl w:ilvl="0" w:tplc="CAD84830">
      <w:start w:val="9"/>
      <w:numFmt w:val="lowerLetter"/>
      <w:lvlText w:val="%1)"/>
      <w:lvlJc w:val="left"/>
      <w:pPr>
        <w:ind w:left="956" w:hanging="360"/>
        <w:jc w:val="left"/>
      </w:pPr>
      <w:rPr>
        <w:rFonts w:ascii="Segoe UI" w:eastAsia="Segoe UI" w:hAnsi="Segoe UI" w:cs="Segoe UI" w:hint="default"/>
        <w:color w:val="211F1F"/>
        <w:spacing w:val="-1"/>
        <w:w w:val="100"/>
        <w:sz w:val="22"/>
        <w:szCs w:val="22"/>
      </w:rPr>
    </w:lvl>
    <w:lvl w:ilvl="1" w:tplc="DD464A7A">
      <w:numFmt w:val="bullet"/>
      <w:lvlText w:val="•"/>
      <w:lvlJc w:val="left"/>
      <w:pPr>
        <w:ind w:left="1826" w:hanging="360"/>
      </w:pPr>
      <w:rPr>
        <w:rFonts w:hint="default"/>
      </w:rPr>
    </w:lvl>
    <w:lvl w:ilvl="2" w:tplc="A9C200A6">
      <w:numFmt w:val="bullet"/>
      <w:lvlText w:val="•"/>
      <w:lvlJc w:val="left"/>
      <w:pPr>
        <w:ind w:left="2693" w:hanging="360"/>
      </w:pPr>
      <w:rPr>
        <w:rFonts w:hint="default"/>
      </w:rPr>
    </w:lvl>
    <w:lvl w:ilvl="3" w:tplc="2F6CAB7E">
      <w:numFmt w:val="bullet"/>
      <w:lvlText w:val="•"/>
      <w:lvlJc w:val="left"/>
      <w:pPr>
        <w:ind w:left="3559" w:hanging="360"/>
      </w:pPr>
      <w:rPr>
        <w:rFonts w:hint="default"/>
      </w:rPr>
    </w:lvl>
    <w:lvl w:ilvl="4" w:tplc="89586DEC">
      <w:numFmt w:val="bullet"/>
      <w:lvlText w:val="•"/>
      <w:lvlJc w:val="left"/>
      <w:pPr>
        <w:ind w:left="4426" w:hanging="360"/>
      </w:pPr>
      <w:rPr>
        <w:rFonts w:hint="default"/>
      </w:rPr>
    </w:lvl>
    <w:lvl w:ilvl="5" w:tplc="68F6FB8E">
      <w:numFmt w:val="bullet"/>
      <w:lvlText w:val="•"/>
      <w:lvlJc w:val="left"/>
      <w:pPr>
        <w:ind w:left="5293" w:hanging="360"/>
      </w:pPr>
      <w:rPr>
        <w:rFonts w:hint="default"/>
      </w:rPr>
    </w:lvl>
    <w:lvl w:ilvl="6" w:tplc="33665FE2">
      <w:numFmt w:val="bullet"/>
      <w:lvlText w:val="•"/>
      <w:lvlJc w:val="left"/>
      <w:pPr>
        <w:ind w:left="6159" w:hanging="360"/>
      </w:pPr>
      <w:rPr>
        <w:rFonts w:hint="default"/>
      </w:rPr>
    </w:lvl>
    <w:lvl w:ilvl="7" w:tplc="EE0CF36E">
      <w:numFmt w:val="bullet"/>
      <w:lvlText w:val="•"/>
      <w:lvlJc w:val="left"/>
      <w:pPr>
        <w:ind w:left="7026" w:hanging="360"/>
      </w:pPr>
      <w:rPr>
        <w:rFonts w:hint="default"/>
      </w:rPr>
    </w:lvl>
    <w:lvl w:ilvl="8" w:tplc="5D60AA1A">
      <w:numFmt w:val="bullet"/>
      <w:lvlText w:val="•"/>
      <w:lvlJc w:val="left"/>
      <w:pPr>
        <w:ind w:left="7893" w:hanging="360"/>
      </w:pPr>
      <w:rPr>
        <w:rFonts w:hint="default"/>
      </w:rPr>
    </w:lvl>
  </w:abstractNum>
  <w:abstractNum w:abstractNumId="10">
    <w:nsid w:val="7C4A77D7"/>
    <w:multiLevelType w:val="hybridMultilevel"/>
    <w:tmpl w:val="D522FAE0"/>
    <w:lvl w:ilvl="0" w:tplc="E718485A">
      <w:start w:val="1"/>
      <w:numFmt w:val="lowerLetter"/>
      <w:lvlText w:val="%1)"/>
      <w:lvlJc w:val="left"/>
      <w:pPr>
        <w:ind w:left="236" w:hanging="262"/>
        <w:jc w:val="left"/>
      </w:pPr>
      <w:rPr>
        <w:rFonts w:ascii="Segoe UI" w:eastAsia="Segoe UI" w:hAnsi="Segoe UI" w:cs="Segoe UI" w:hint="default"/>
        <w:b/>
        <w:bCs/>
        <w:spacing w:val="0"/>
        <w:w w:val="100"/>
        <w:sz w:val="22"/>
        <w:szCs w:val="22"/>
      </w:rPr>
    </w:lvl>
    <w:lvl w:ilvl="1" w:tplc="28E64C7E">
      <w:numFmt w:val="bullet"/>
      <w:lvlText w:val="•"/>
      <w:lvlJc w:val="left"/>
      <w:pPr>
        <w:ind w:left="1178" w:hanging="262"/>
      </w:pPr>
      <w:rPr>
        <w:rFonts w:hint="default"/>
      </w:rPr>
    </w:lvl>
    <w:lvl w:ilvl="2" w:tplc="CCB85F46">
      <w:numFmt w:val="bullet"/>
      <w:lvlText w:val="•"/>
      <w:lvlJc w:val="left"/>
      <w:pPr>
        <w:ind w:left="2117" w:hanging="262"/>
      </w:pPr>
      <w:rPr>
        <w:rFonts w:hint="default"/>
      </w:rPr>
    </w:lvl>
    <w:lvl w:ilvl="3" w:tplc="7F18291E">
      <w:numFmt w:val="bullet"/>
      <w:lvlText w:val="•"/>
      <w:lvlJc w:val="left"/>
      <w:pPr>
        <w:ind w:left="3055" w:hanging="262"/>
      </w:pPr>
      <w:rPr>
        <w:rFonts w:hint="default"/>
      </w:rPr>
    </w:lvl>
    <w:lvl w:ilvl="4" w:tplc="D93C8CE2">
      <w:numFmt w:val="bullet"/>
      <w:lvlText w:val="•"/>
      <w:lvlJc w:val="left"/>
      <w:pPr>
        <w:ind w:left="3994" w:hanging="262"/>
      </w:pPr>
      <w:rPr>
        <w:rFonts w:hint="default"/>
      </w:rPr>
    </w:lvl>
    <w:lvl w:ilvl="5" w:tplc="24F64142">
      <w:numFmt w:val="bullet"/>
      <w:lvlText w:val="•"/>
      <w:lvlJc w:val="left"/>
      <w:pPr>
        <w:ind w:left="4933" w:hanging="262"/>
      </w:pPr>
      <w:rPr>
        <w:rFonts w:hint="default"/>
      </w:rPr>
    </w:lvl>
    <w:lvl w:ilvl="6" w:tplc="D4B6D196">
      <w:numFmt w:val="bullet"/>
      <w:lvlText w:val="•"/>
      <w:lvlJc w:val="left"/>
      <w:pPr>
        <w:ind w:left="5871" w:hanging="262"/>
      </w:pPr>
      <w:rPr>
        <w:rFonts w:hint="default"/>
      </w:rPr>
    </w:lvl>
    <w:lvl w:ilvl="7" w:tplc="DD6E5F9A">
      <w:numFmt w:val="bullet"/>
      <w:lvlText w:val="•"/>
      <w:lvlJc w:val="left"/>
      <w:pPr>
        <w:ind w:left="6810" w:hanging="262"/>
      </w:pPr>
      <w:rPr>
        <w:rFonts w:hint="default"/>
      </w:rPr>
    </w:lvl>
    <w:lvl w:ilvl="8" w:tplc="06149310">
      <w:numFmt w:val="bullet"/>
      <w:lvlText w:val="•"/>
      <w:lvlJc w:val="left"/>
      <w:pPr>
        <w:ind w:left="7749" w:hanging="262"/>
      </w:pPr>
      <w:rPr>
        <w:rFonts w:hint="default"/>
      </w:rPr>
    </w:lvl>
  </w:abstractNum>
  <w:num w:numId="1">
    <w:abstractNumId w:val="10"/>
  </w:num>
  <w:num w:numId="2">
    <w:abstractNumId w:val="1"/>
  </w:num>
  <w:num w:numId="3">
    <w:abstractNumId w:val="2"/>
  </w:num>
  <w:num w:numId="4">
    <w:abstractNumId w:val="8"/>
  </w:num>
  <w:num w:numId="5">
    <w:abstractNumId w:val="9"/>
  </w:num>
  <w:num w:numId="6">
    <w:abstractNumId w:val="3"/>
  </w:num>
  <w:num w:numId="7">
    <w:abstractNumId w:val="4"/>
  </w:num>
  <w:num w:numId="8">
    <w:abstractNumId w:val="5"/>
  </w:num>
  <w:num w:numId="9">
    <w:abstractNumId w:val="0"/>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compat>
  <w:rsids>
    <w:rsidRoot w:val="006033FD"/>
    <w:rsid w:val="006033FD"/>
    <w:rsid w:val="00B84F38"/>
    <w:rsid w:val="00E21E0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033FD"/>
    <w:rPr>
      <w:rFonts w:ascii="Segoe UI" w:eastAsia="Segoe UI" w:hAnsi="Segoe UI" w:cs="Segoe U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033FD"/>
    <w:tblPr>
      <w:tblInd w:w="0" w:type="dxa"/>
      <w:tblCellMar>
        <w:top w:w="0" w:type="dxa"/>
        <w:left w:w="0" w:type="dxa"/>
        <w:bottom w:w="0" w:type="dxa"/>
        <w:right w:w="0" w:type="dxa"/>
      </w:tblCellMar>
    </w:tblPr>
  </w:style>
  <w:style w:type="paragraph" w:styleId="GvdeMetni">
    <w:name w:val="Body Text"/>
    <w:basedOn w:val="Normal"/>
    <w:uiPriority w:val="1"/>
    <w:qFormat/>
    <w:rsid w:val="006033FD"/>
  </w:style>
  <w:style w:type="paragraph" w:customStyle="1" w:styleId="Heading1">
    <w:name w:val="Heading 1"/>
    <w:basedOn w:val="Normal"/>
    <w:uiPriority w:val="1"/>
    <w:qFormat/>
    <w:rsid w:val="006033FD"/>
    <w:pPr>
      <w:spacing w:before="25"/>
      <w:ind w:left="236"/>
      <w:outlineLvl w:val="1"/>
    </w:pPr>
    <w:rPr>
      <w:b/>
      <w:bCs/>
    </w:rPr>
  </w:style>
  <w:style w:type="paragraph" w:styleId="ListeParagraf">
    <w:name w:val="List Paragraph"/>
    <w:basedOn w:val="Normal"/>
    <w:uiPriority w:val="1"/>
    <w:qFormat/>
    <w:rsid w:val="006033FD"/>
    <w:pPr>
      <w:spacing w:before="42"/>
      <w:ind w:left="956" w:hanging="360"/>
    </w:pPr>
  </w:style>
  <w:style w:type="paragraph" w:customStyle="1" w:styleId="TableParagraph">
    <w:name w:val="Table Paragraph"/>
    <w:basedOn w:val="Normal"/>
    <w:uiPriority w:val="1"/>
    <w:qFormat/>
    <w:rsid w:val="006033FD"/>
    <w:pPr>
      <w:ind w:left="103"/>
      <w:jc w:val="both"/>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footer" Target="footer2.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5560</Words>
  <Characters>31695</Characters>
  <Application>Microsoft Office Word</Application>
  <DocSecurity>0</DocSecurity>
  <Lines>264</Lines>
  <Paragraphs>74</Paragraphs>
  <ScaleCrop>false</ScaleCrop>
  <Company>SilentAll Team</Company>
  <LinksUpToDate>false</LinksUpToDate>
  <CharactersWithSpaces>37181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bcan</dc:creator>
  <cp:lastModifiedBy>tugba.ozpay</cp:lastModifiedBy>
  <cp:revision>3</cp:revision>
  <dcterms:created xsi:type="dcterms:W3CDTF">2016-08-26T08:18:00Z</dcterms:created>
  <dcterms:modified xsi:type="dcterms:W3CDTF">2016-08-26T08:18:00Z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2016-08-25T00:00:00Z</vt:filetime>
  </property>
  <property fmtid="{D5CDD505-2E9C-101B-9397-08002B2CF9AE}" pid="3" name="Creator">
    <vt:lpwstr>Microsoft® Office Word 2007</vt:lpwstr>
  </property>
  <property fmtid="{D5CDD505-2E9C-101B-9397-08002B2CF9AE}" pid="4" name="LastSaved">
    <vt:filetime>2016-08-26T00:00:00Z</vt:filetime>
  </property>
</Properties>
</file>